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AEEAD" w14:textId="3D7C1513" w:rsidR="003B4DFE" w:rsidRDefault="009E6D93">
      <w:pPr>
        <w:pStyle w:val="Ttulo1"/>
        <w:rPr>
          <w:rFonts w:ascii="Arial" w:eastAsia="Arial" w:hAnsi="Arial" w:cs="Arial"/>
          <w:b/>
          <w:sz w:val="22"/>
          <w:szCs w:val="22"/>
        </w:rPr>
      </w:pPr>
      <w:bookmarkStart w:id="0" w:name="_GoBack"/>
      <w:bookmarkEnd w:id="0"/>
      <w:r>
        <w:rPr>
          <w:rFonts w:ascii="Arial" w:eastAsia="Arial" w:hAnsi="Arial" w:cs="Arial"/>
          <w:b/>
          <w:sz w:val="22"/>
          <w:szCs w:val="22"/>
        </w:rPr>
        <w:t xml:space="preserve">PROYECTO DE ACUERDO No.    </w:t>
      </w:r>
      <w:r w:rsidR="00CB536D">
        <w:rPr>
          <w:rFonts w:ascii="Arial" w:eastAsia="Arial" w:hAnsi="Arial" w:cs="Arial"/>
          <w:b/>
          <w:sz w:val="22"/>
          <w:szCs w:val="22"/>
        </w:rPr>
        <w:t>288</w:t>
      </w:r>
      <w:r>
        <w:rPr>
          <w:rFonts w:ascii="Arial" w:eastAsia="Arial" w:hAnsi="Arial" w:cs="Arial"/>
          <w:b/>
          <w:sz w:val="22"/>
          <w:szCs w:val="22"/>
        </w:rPr>
        <w:t xml:space="preserve">    DE 202</w:t>
      </w:r>
      <w:r w:rsidR="00446BE5">
        <w:rPr>
          <w:rFonts w:ascii="Arial" w:eastAsia="Arial" w:hAnsi="Arial" w:cs="Arial"/>
          <w:b/>
          <w:sz w:val="22"/>
          <w:szCs w:val="22"/>
        </w:rPr>
        <w:t>5</w:t>
      </w:r>
    </w:p>
    <w:p w14:paraId="672A6659" w14:textId="77777777" w:rsidR="003B4DFE" w:rsidRDefault="003B4DFE">
      <w:pPr>
        <w:jc w:val="center"/>
        <w:rPr>
          <w:color w:val="000000"/>
          <w:sz w:val="22"/>
          <w:szCs w:val="22"/>
        </w:rPr>
      </w:pPr>
    </w:p>
    <w:p w14:paraId="3A6D49C0" w14:textId="77777777" w:rsidR="003B4DFE" w:rsidRDefault="009E6D93">
      <w:pPr>
        <w:pBdr>
          <w:top w:val="nil"/>
          <w:left w:val="nil"/>
          <w:bottom w:val="nil"/>
          <w:right w:val="nil"/>
          <w:between w:val="nil"/>
        </w:pBdr>
        <w:jc w:val="center"/>
        <w:rPr>
          <w:color w:val="000000"/>
          <w:sz w:val="22"/>
          <w:szCs w:val="22"/>
        </w:rPr>
      </w:pPr>
      <w:r>
        <w:rPr>
          <w:b/>
          <w:color w:val="000000"/>
          <w:sz w:val="22"/>
          <w:szCs w:val="22"/>
        </w:rPr>
        <w:t xml:space="preserve">“POR EL CUAL SE FORTALECE Y FOMENTA LA ATENCIÓN DE LA SALUD MENTAL </w:t>
      </w:r>
      <w:r>
        <w:rPr>
          <w:b/>
          <w:sz w:val="22"/>
          <w:szCs w:val="22"/>
        </w:rPr>
        <w:t xml:space="preserve">MATERNA </w:t>
      </w:r>
      <w:r>
        <w:rPr>
          <w:b/>
          <w:color w:val="000000"/>
          <w:sz w:val="22"/>
          <w:szCs w:val="22"/>
        </w:rPr>
        <w:t>EN EL DISTRITO CAPITAL Y SE DICTAN OTRAS DISPOSICIONES”</w:t>
      </w:r>
    </w:p>
    <w:p w14:paraId="0A37501D" w14:textId="77777777" w:rsidR="003B4DFE" w:rsidRDefault="003B4DFE">
      <w:pPr>
        <w:jc w:val="both"/>
        <w:rPr>
          <w:color w:val="000000"/>
          <w:sz w:val="22"/>
          <w:szCs w:val="22"/>
        </w:rPr>
      </w:pPr>
    </w:p>
    <w:p w14:paraId="337BA26D" w14:textId="77777777" w:rsidR="003B4DFE" w:rsidRDefault="009E6D93">
      <w:pPr>
        <w:numPr>
          <w:ilvl w:val="0"/>
          <w:numId w:val="7"/>
        </w:numPr>
        <w:pBdr>
          <w:top w:val="nil"/>
          <w:left w:val="nil"/>
          <w:bottom w:val="nil"/>
          <w:right w:val="nil"/>
          <w:between w:val="nil"/>
        </w:pBdr>
        <w:ind w:left="284" w:hanging="284"/>
        <w:jc w:val="both"/>
        <w:rPr>
          <w:b/>
          <w:color w:val="000000"/>
          <w:sz w:val="22"/>
          <w:szCs w:val="22"/>
        </w:rPr>
      </w:pPr>
      <w:r>
        <w:rPr>
          <w:b/>
          <w:color w:val="000000"/>
          <w:sz w:val="22"/>
          <w:szCs w:val="22"/>
        </w:rPr>
        <w:t>OBJETO DEL PROYECTO</w:t>
      </w:r>
    </w:p>
    <w:p w14:paraId="5DAB6C7B" w14:textId="77777777" w:rsidR="003B4DFE" w:rsidRDefault="003B4DFE">
      <w:pPr>
        <w:jc w:val="both"/>
        <w:rPr>
          <w:color w:val="000000"/>
          <w:sz w:val="22"/>
          <w:szCs w:val="22"/>
        </w:rPr>
      </w:pPr>
    </w:p>
    <w:p w14:paraId="0C9C696A" w14:textId="77777777" w:rsidR="003B4DFE" w:rsidRDefault="009E6D93">
      <w:pPr>
        <w:jc w:val="both"/>
        <w:rPr>
          <w:color w:val="000000"/>
          <w:sz w:val="22"/>
          <w:szCs w:val="22"/>
        </w:rPr>
      </w:pPr>
      <w:bookmarkStart w:id="1" w:name="_heading=h.gjdgxs" w:colFirst="0" w:colLast="0"/>
      <w:bookmarkEnd w:id="1"/>
      <w:r>
        <w:rPr>
          <w:color w:val="000000"/>
          <w:sz w:val="22"/>
          <w:szCs w:val="22"/>
        </w:rPr>
        <w:t xml:space="preserve">La presente iniciativa busca fortalecer y fomentar la atención psicológica a mujeres durante y después del embarazo, complementando así la atención a la salud tanto física como mental, con que se cuenta actualmente, para lograr una verdadera atención integral. De igual manera, se busca lograr que se declare </w:t>
      </w:r>
      <w:r>
        <w:rPr>
          <w:sz w:val="22"/>
          <w:szCs w:val="22"/>
        </w:rPr>
        <w:t>el primer miércoles de mayo, como</w:t>
      </w:r>
      <w:r>
        <w:rPr>
          <w:color w:val="000000"/>
          <w:sz w:val="22"/>
          <w:szCs w:val="22"/>
        </w:rPr>
        <w:t xml:space="preserve"> el Día Distrital de la Salud Mental Materna.</w:t>
      </w:r>
    </w:p>
    <w:p w14:paraId="02EB378F" w14:textId="77777777" w:rsidR="003B4DFE" w:rsidRDefault="003B4DFE">
      <w:pPr>
        <w:jc w:val="both"/>
        <w:rPr>
          <w:color w:val="000000"/>
          <w:sz w:val="22"/>
          <w:szCs w:val="22"/>
        </w:rPr>
      </w:pPr>
    </w:p>
    <w:p w14:paraId="4A05FC26" w14:textId="77777777" w:rsidR="003B4DFE" w:rsidRDefault="009E6D93">
      <w:pPr>
        <w:numPr>
          <w:ilvl w:val="0"/>
          <w:numId w:val="7"/>
        </w:numPr>
        <w:pBdr>
          <w:top w:val="nil"/>
          <w:left w:val="nil"/>
          <w:bottom w:val="nil"/>
          <w:right w:val="nil"/>
          <w:between w:val="nil"/>
        </w:pBdr>
        <w:ind w:left="284" w:hanging="284"/>
        <w:jc w:val="both"/>
        <w:rPr>
          <w:b/>
          <w:color w:val="000000"/>
          <w:sz w:val="22"/>
          <w:szCs w:val="22"/>
        </w:rPr>
      </w:pPr>
      <w:r>
        <w:rPr>
          <w:b/>
          <w:color w:val="000000"/>
          <w:sz w:val="22"/>
          <w:szCs w:val="22"/>
        </w:rPr>
        <w:t xml:space="preserve">COMPETENCIA DEL CONCEJO DE BOGOTÁ D. C. </w:t>
      </w:r>
    </w:p>
    <w:p w14:paraId="6A05A809" w14:textId="77777777" w:rsidR="003B4DFE" w:rsidRDefault="003B4DFE">
      <w:pPr>
        <w:jc w:val="both"/>
        <w:rPr>
          <w:b/>
          <w:i/>
          <w:color w:val="000000"/>
          <w:sz w:val="22"/>
          <w:szCs w:val="22"/>
        </w:rPr>
      </w:pPr>
    </w:p>
    <w:p w14:paraId="1F5CC3C1" w14:textId="77777777" w:rsidR="003B4DFE" w:rsidRDefault="009E6D93">
      <w:pPr>
        <w:jc w:val="both"/>
        <w:rPr>
          <w:color w:val="000000"/>
          <w:sz w:val="22"/>
          <w:szCs w:val="22"/>
        </w:rPr>
      </w:pPr>
      <w:r>
        <w:rPr>
          <w:color w:val="000000"/>
          <w:sz w:val="22"/>
          <w:szCs w:val="22"/>
        </w:rPr>
        <w:t>De conformidad con el numeral 1 del artículo 12 del Decreto Ley 1421 de 1993-Estatuto Orgánico de Bogotá D.C. es competente para:</w:t>
      </w:r>
    </w:p>
    <w:p w14:paraId="5A39BBE3" w14:textId="77777777" w:rsidR="003B4DFE" w:rsidRDefault="003B4DFE">
      <w:pPr>
        <w:jc w:val="both"/>
        <w:rPr>
          <w:color w:val="000000"/>
          <w:sz w:val="22"/>
          <w:szCs w:val="22"/>
        </w:rPr>
      </w:pPr>
    </w:p>
    <w:p w14:paraId="672AC86A" w14:textId="77777777" w:rsidR="003B4DFE" w:rsidRDefault="009E6D93">
      <w:pPr>
        <w:ind w:left="709"/>
        <w:jc w:val="both"/>
        <w:rPr>
          <w:i/>
          <w:color w:val="000000"/>
          <w:sz w:val="22"/>
          <w:szCs w:val="22"/>
        </w:rPr>
      </w:pPr>
      <w:r>
        <w:rPr>
          <w:i/>
          <w:color w:val="000000"/>
          <w:sz w:val="22"/>
          <w:szCs w:val="22"/>
        </w:rPr>
        <w:t>“Artículo- 12. Atribuciones. Corresponde al Concejo Distrital, de conformidad con la Constitución y a la ley:</w:t>
      </w:r>
    </w:p>
    <w:p w14:paraId="41C8F396" w14:textId="77777777" w:rsidR="003B4DFE" w:rsidRDefault="003B4DFE">
      <w:pPr>
        <w:ind w:left="2127"/>
        <w:jc w:val="both"/>
        <w:rPr>
          <w:i/>
          <w:color w:val="000000"/>
          <w:sz w:val="22"/>
          <w:szCs w:val="22"/>
        </w:rPr>
      </w:pPr>
    </w:p>
    <w:p w14:paraId="4CC9B9CD" w14:textId="77777777" w:rsidR="003B4DFE" w:rsidRDefault="009E6D93">
      <w:pPr>
        <w:numPr>
          <w:ilvl w:val="0"/>
          <w:numId w:val="6"/>
        </w:numPr>
        <w:pBdr>
          <w:top w:val="nil"/>
          <w:left w:val="nil"/>
          <w:bottom w:val="nil"/>
          <w:right w:val="nil"/>
          <w:between w:val="nil"/>
        </w:pBdr>
        <w:jc w:val="both"/>
        <w:rPr>
          <w:b/>
          <w:i/>
          <w:color w:val="000000"/>
          <w:sz w:val="22"/>
          <w:szCs w:val="22"/>
        </w:rPr>
      </w:pPr>
      <w:r>
        <w:rPr>
          <w:b/>
          <w:i/>
          <w:color w:val="000000"/>
          <w:sz w:val="22"/>
          <w:szCs w:val="22"/>
        </w:rPr>
        <w:t>Dictar las normas necesarias para garantizar el adecuado cumplimiento de las funciones y la eficiente prestación de los servicios a cargo del Distrito.</w:t>
      </w:r>
    </w:p>
    <w:p w14:paraId="72A3D3EC" w14:textId="77777777" w:rsidR="003B4DFE" w:rsidRDefault="003B4DFE">
      <w:pPr>
        <w:jc w:val="both"/>
        <w:rPr>
          <w:i/>
          <w:color w:val="000000"/>
          <w:sz w:val="22"/>
          <w:szCs w:val="22"/>
        </w:rPr>
      </w:pPr>
    </w:p>
    <w:p w14:paraId="27670273" w14:textId="77777777" w:rsidR="003B4DFE" w:rsidRDefault="009E6D93">
      <w:pPr>
        <w:ind w:left="1418"/>
        <w:jc w:val="both"/>
        <w:rPr>
          <w:i/>
          <w:color w:val="000000"/>
          <w:sz w:val="22"/>
          <w:szCs w:val="22"/>
        </w:rPr>
      </w:pPr>
      <w:r>
        <w:rPr>
          <w:i/>
          <w:color w:val="000000"/>
          <w:sz w:val="22"/>
          <w:szCs w:val="22"/>
        </w:rPr>
        <w:t>25. Cumplir las demás funciones que le asignen las disposiciones vigentes.</w:t>
      </w:r>
    </w:p>
    <w:p w14:paraId="6DCAFD02" w14:textId="77777777" w:rsidR="003B4DFE" w:rsidRDefault="009E6D93">
      <w:pPr>
        <w:ind w:left="1418"/>
        <w:jc w:val="both"/>
        <w:rPr>
          <w:b/>
          <w:i/>
          <w:color w:val="000000"/>
          <w:sz w:val="22"/>
          <w:szCs w:val="22"/>
        </w:rPr>
      </w:pPr>
      <w:r>
        <w:rPr>
          <w:b/>
          <w:i/>
          <w:color w:val="000000"/>
          <w:sz w:val="22"/>
          <w:szCs w:val="22"/>
        </w:rPr>
        <w:t xml:space="preserve">(Negrilla fuera de texto) </w:t>
      </w:r>
    </w:p>
    <w:p w14:paraId="0D0B940D" w14:textId="77777777" w:rsidR="003B4DFE" w:rsidRDefault="003B4DFE">
      <w:pPr>
        <w:ind w:left="1418"/>
        <w:jc w:val="both"/>
        <w:rPr>
          <w:b/>
          <w:i/>
          <w:color w:val="000000"/>
          <w:sz w:val="22"/>
          <w:szCs w:val="22"/>
        </w:rPr>
      </w:pPr>
    </w:p>
    <w:p w14:paraId="2CA0096E" w14:textId="77777777" w:rsidR="003B4DFE" w:rsidRDefault="009E6D93">
      <w:pPr>
        <w:numPr>
          <w:ilvl w:val="0"/>
          <w:numId w:val="7"/>
        </w:numPr>
        <w:pBdr>
          <w:top w:val="nil"/>
          <w:left w:val="nil"/>
          <w:bottom w:val="nil"/>
          <w:right w:val="nil"/>
          <w:between w:val="nil"/>
        </w:pBdr>
        <w:ind w:left="284" w:hanging="284"/>
        <w:jc w:val="both"/>
        <w:rPr>
          <w:b/>
          <w:color w:val="000000"/>
          <w:sz w:val="22"/>
          <w:szCs w:val="22"/>
          <w:highlight w:val="white"/>
        </w:rPr>
      </w:pPr>
      <w:r>
        <w:rPr>
          <w:b/>
          <w:color w:val="000000"/>
          <w:sz w:val="22"/>
          <w:szCs w:val="22"/>
          <w:highlight w:val="white"/>
        </w:rPr>
        <w:t>ANTECEDENTES.</w:t>
      </w:r>
    </w:p>
    <w:p w14:paraId="0E27B00A" w14:textId="77777777" w:rsidR="003B4DFE" w:rsidRDefault="003B4DFE">
      <w:pPr>
        <w:jc w:val="both"/>
        <w:rPr>
          <w:color w:val="000000"/>
          <w:sz w:val="22"/>
          <w:szCs w:val="22"/>
        </w:rPr>
      </w:pPr>
    </w:p>
    <w:p w14:paraId="60061E4C" w14:textId="77777777" w:rsidR="003B4DFE" w:rsidRDefault="003B4DFE">
      <w:pPr>
        <w:jc w:val="both"/>
        <w:rPr>
          <w:color w:val="000000"/>
          <w:sz w:val="22"/>
          <w:szCs w:val="22"/>
        </w:rPr>
      </w:pPr>
    </w:p>
    <w:tbl>
      <w:tblPr>
        <w:tblStyle w:val="a"/>
        <w:tblW w:w="8830" w:type="dxa"/>
        <w:tblInd w:w="0" w:type="dxa"/>
        <w:tblBorders>
          <w:top w:val="single" w:sz="4" w:space="0" w:color="666666"/>
          <w:left w:val="single" w:sz="4" w:space="0" w:color="000000"/>
          <w:bottom w:val="single" w:sz="4" w:space="0" w:color="666666"/>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4415"/>
        <w:gridCol w:w="4415"/>
      </w:tblGrid>
      <w:tr w:rsidR="003B4DFE" w14:paraId="4DAD0EA5" w14:textId="77777777">
        <w:tc>
          <w:tcPr>
            <w:tcW w:w="4415" w:type="dxa"/>
            <w:tcBorders>
              <w:top w:val="single" w:sz="4" w:space="0" w:color="000000"/>
              <w:left w:val="single" w:sz="4" w:space="0" w:color="000000"/>
              <w:bottom w:val="single" w:sz="4" w:space="0" w:color="000000"/>
              <w:right w:val="single" w:sz="4" w:space="0" w:color="000000"/>
            </w:tcBorders>
          </w:tcPr>
          <w:p w14:paraId="6391F059" w14:textId="77777777" w:rsidR="003B4DFE" w:rsidRDefault="009E6D93">
            <w:pPr>
              <w:jc w:val="center"/>
              <w:rPr>
                <w:b/>
                <w:color w:val="000000"/>
                <w:sz w:val="22"/>
                <w:szCs w:val="22"/>
              </w:rPr>
            </w:pPr>
            <w:r>
              <w:rPr>
                <w:b/>
                <w:color w:val="000000"/>
                <w:sz w:val="22"/>
                <w:szCs w:val="22"/>
              </w:rPr>
              <w:t>Proyecto de Acuerdo</w:t>
            </w:r>
          </w:p>
        </w:tc>
        <w:tc>
          <w:tcPr>
            <w:tcW w:w="4415" w:type="dxa"/>
            <w:tcBorders>
              <w:top w:val="single" w:sz="4" w:space="0" w:color="000000"/>
              <w:left w:val="single" w:sz="4" w:space="0" w:color="000000"/>
              <w:bottom w:val="single" w:sz="4" w:space="0" w:color="000000"/>
              <w:right w:val="single" w:sz="4" w:space="0" w:color="000000"/>
            </w:tcBorders>
          </w:tcPr>
          <w:p w14:paraId="478F724F" w14:textId="77777777" w:rsidR="003B4DFE" w:rsidRDefault="009E6D93">
            <w:pPr>
              <w:jc w:val="center"/>
              <w:rPr>
                <w:b/>
                <w:color w:val="000000"/>
                <w:sz w:val="22"/>
                <w:szCs w:val="22"/>
              </w:rPr>
            </w:pPr>
            <w:r>
              <w:rPr>
                <w:b/>
                <w:color w:val="000000"/>
                <w:sz w:val="22"/>
                <w:szCs w:val="22"/>
              </w:rPr>
              <w:t>Trámite</w:t>
            </w:r>
          </w:p>
        </w:tc>
      </w:tr>
      <w:tr w:rsidR="003B4DFE" w14:paraId="4FE28082" w14:textId="77777777">
        <w:tc>
          <w:tcPr>
            <w:tcW w:w="4415" w:type="dxa"/>
            <w:tcBorders>
              <w:top w:val="single" w:sz="4" w:space="0" w:color="000000"/>
              <w:left w:val="single" w:sz="4" w:space="0" w:color="000000"/>
              <w:bottom w:val="single" w:sz="4" w:space="0" w:color="000000"/>
              <w:right w:val="single" w:sz="4" w:space="0" w:color="000000"/>
            </w:tcBorders>
          </w:tcPr>
          <w:p w14:paraId="73E121E7" w14:textId="77777777" w:rsidR="003B4DFE" w:rsidRDefault="009E6D93">
            <w:pPr>
              <w:jc w:val="center"/>
              <w:rPr>
                <w:color w:val="000000"/>
                <w:sz w:val="22"/>
                <w:szCs w:val="22"/>
              </w:rPr>
            </w:pPr>
            <w:r>
              <w:rPr>
                <w:color w:val="000000"/>
                <w:sz w:val="22"/>
                <w:szCs w:val="22"/>
              </w:rPr>
              <w:t>481 de 2021</w:t>
            </w:r>
          </w:p>
        </w:tc>
        <w:tc>
          <w:tcPr>
            <w:tcW w:w="4415" w:type="dxa"/>
            <w:tcBorders>
              <w:top w:val="single" w:sz="4" w:space="0" w:color="000000"/>
              <w:left w:val="single" w:sz="4" w:space="0" w:color="000000"/>
              <w:bottom w:val="single" w:sz="4" w:space="0" w:color="000000"/>
              <w:right w:val="single" w:sz="4" w:space="0" w:color="000000"/>
            </w:tcBorders>
          </w:tcPr>
          <w:p w14:paraId="782A5044" w14:textId="77777777" w:rsidR="003B4DFE" w:rsidRDefault="009E6D93">
            <w:pPr>
              <w:jc w:val="both"/>
              <w:rPr>
                <w:sz w:val="22"/>
                <w:szCs w:val="22"/>
              </w:rPr>
            </w:pPr>
            <w:r>
              <w:rPr>
                <w:color w:val="000000"/>
                <w:sz w:val="22"/>
                <w:szCs w:val="22"/>
              </w:rPr>
              <w:t>Radicado e</w:t>
            </w:r>
            <w:r>
              <w:rPr>
                <w:sz w:val="22"/>
                <w:szCs w:val="22"/>
              </w:rPr>
              <w:t xml:space="preserve">l 20 de octubre de 2021 y remitido a la Comisión Primera Permanente del Plan de Desarrollo y Ordenamiento Territorial el 30 de octubre de 2021. </w:t>
            </w:r>
          </w:p>
          <w:p w14:paraId="44EAFD9C" w14:textId="77777777" w:rsidR="003B4DFE" w:rsidRDefault="003B4DFE">
            <w:pPr>
              <w:jc w:val="both"/>
              <w:rPr>
                <w:color w:val="000000"/>
                <w:sz w:val="22"/>
                <w:szCs w:val="22"/>
              </w:rPr>
            </w:pPr>
          </w:p>
          <w:p w14:paraId="0A6ABDE0" w14:textId="77777777" w:rsidR="003B4DFE" w:rsidRDefault="009E6D93">
            <w:pPr>
              <w:jc w:val="both"/>
              <w:rPr>
                <w:color w:val="000000"/>
                <w:sz w:val="22"/>
                <w:szCs w:val="22"/>
              </w:rPr>
            </w:pPr>
            <w:r>
              <w:rPr>
                <w:color w:val="000000"/>
                <w:sz w:val="22"/>
                <w:szCs w:val="22"/>
              </w:rPr>
              <w:t>Ponencia positiva con modificaciones del concejal Pedro Julián López Sierra.</w:t>
            </w:r>
          </w:p>
          <w:p w14:paraId="4B94D5A5" w14:textId="77777777" w:rsidR="003B4DFE" w:rsidRDefault="003B4DFE">
            <w:pPr>
              <w:jc w:val="both"/>
              <w:rPr>
                <w:color w:val="000000"/>
                <w:sz w:val="22"/>
                <w:szCs w:val="22"/>
              </w:rPr>
            </w:pPr>
          </w:p>
          <w:p w14:paraId="5B1476A4" w14:textId="77777777" w:rsidR="003B4DFE" w:rsidRDefault="009E6D93">
            <w:pPr>
              <w:jc w:val="both"/>
              <w:rPr>
                <w:color w:val="000000"/>
                <w:sz w:val="22"/>
                <w:szCs w:val="22"/>
              </w:rPr>
            </w:pPr>
            <w:r>
              <w:rPr>
                <w:color w:val="000000"/>
                <w:sz w:val="22"/>
                <w:szCs w:val="22"/>
              </w:rPr>
              <w:t xml:space="preserve">Ponencia positiva con modificaciones de la concejal Sara Castellanos.  </w:t>
            </w:r>
          </w:p>
          <w:p w14:paraId="3DEEC669" w14:textId="77777777" w:rsidR="003B4DFE" w:rsidRDefault="003B4DFE">
            <w:pPr>
              <w:jc w:val="both"/>
              <w:rPr>
                <w:color w:val="000000"/>
                <w:sz w:val="22"/>
                <w:szCs w:val="22"/>
              </w:rPr>
            </w:pPr>
          </w:p>
          <w:p w14:paraId="3C59FA92" w14:textId="77777777" w:rsidR="003B4DFE" w:rsidRDefault="009E6D93">
            <w:pPr>
              <w:jc w:val="both"/>
              <w:rPr>
                <w:color w:val="000000"/>
                <w:sz w:val="22"/>
                <w:szCs w:val="22"/>
              </w:rPr>
            </w:pPr>
            <w:r>
              <w:rPr>
                <w:color w:val="000000"/>
                <w:sz w:val="22"/>
                <w:szCs w:val="22"/>
              </w:rPr>
              <w:t>Archivado de conformidad con el artículo 79 del Acuerdo 741 de 2019</w:t>
            </w:r>
            <w:r>
              <w:rPr>
                <w:sz w:val="22"/>
                <w:szCs w:val="22"/>
              </w:rPr>
              <w:t xml:space="preserve">, por no </w:t>
            </w:r>
            <w:r>
              <w:rPr>
                <w:sz w:val="22"/>
                <w:szCs w:val="22"/>
              </w:rPr>
              <w:lastRenderedPageBreak/>
              <w:t xml:space="preserve">discutirse en las sesiones ordinarias de noviembre de 2023. </w:t>
            </w:r>
          </w:p>
        </w:tc>
      </w:tr>
      <w:tr w:rsidR="003B4DFE" w14:paraId="6D93C825" w14:textId="77777777">
        <w:tc>
          <w:tcPr>
            <w:tcW w:w="4415" w:type="dxa"/>
            <w:tcBorders>
              <w:top w:val="single" w:sz="4" w:space="0" w:color="000000"/>
              <w:left w:val="single" w:sz="4" w:space="0" w:color="000000"/>
              <w:bottom w:val="single" w:sz="4" w:space="0" w:color="000000"/>
              <w:right w:val="single" w:sz="4" w:space="0" w:color="000000"/>
            </w:tcBorders>
          </w:tcPr>
          <w:p w14:paraId="13A568B2" w14:textId="77777777" w:rsidR="003B4DFE" w:rsidRDefault="009E6D93">
            <w:pPr>
              <w:jc w:val="center"/>
              <w:rPr>
                <w:color w:val="000000"/>
                <w:sz w:val="22"/>
                <w:szCs w:val="22"/>
              </w:rPr>
            </w:pPr>
            <w:r>
              <w:rPr>
                <w:color w:val="000000"/>
                <w:sz w:val="22"/>
                <w:szCs w:val="22"/>
              </w:rPr>
              <w:lastRenderedPageBreak/>
              <w:t xml:space="preserve">099 de 2022 </w:t>
            </w:r>
          </w:p>
        </w:tc>
        <w:tc>
          <w:tcPr>
            <w:tcW w:w="4415" w:type="dxa"/>
            <w:tcBorders>
              <w:top w:val="single" w:sz="4" w:space="0" w:color="000000"/>
              <w:left w:val="single" w:sz="4" w:space="0" w:color="000000"/>
              <w:bottom w:val="single" w:sz="4" w:space="0" w:color="000000"/>
              <w:right w:val="single" w:sz="4" w:space="0" w:color="000000"/>
            </w:tcBorders>
          </w:tcPr>
          <w:p w14:paraId="7D139301" w14:textId="77777777" w:rsidR="003B4DFE" w:rsidRDefault="009E6D93">
            <w:pPr>
              <w:jc w:val="both"/>
              <w:rPr>
                <w:color w:val="000000"/>
                <w:sz w:val="22"/>
                <w:szCs w:val="22"/>
              </w:rPr>
            </w:pPr>
            <w:r>
              <w:rPr>
                <w:color w:val="000000"/>
                <w:sz w:val="22"/>
                <w:szCs w:val="22"/>
              </w:rPr>
              <w:t>Radicado el 25 de enero de 2022 y remitido a la Comisión Primera Permanente del Plan de Desarrollo y Ordenamiento Territorial el 26 de enero de 2022.</w:t>
            </w:r>
          </w:p>
          <w:p w14:paraId="3656B9AB" w14:textId="77777777" w:rsidR="003B4DFE" w:rsidRDefault="003B4DFE">
            <w:pPr>
              <w:jc w:val="both"/>
              <w:rPr>
                <w:sz w:val="22"/>
                <w:szCs w:val="22"/>
              </w:rPr>
            </w:pPr>
          </w:p>
          <w:p w14:paraId="7DF1DD23" w14:textId="77777777" w:rsidR="003B4DFE" w:rsidRDefault="009E6D93">
            <w:pPr>
              <w:jc w:val="both"/>
              <w:rPr>
                <w:sz w:val="22"/>
                <w:szCs w:val="22"/>
              </w:rPr>
            </w:pPr>
            <w:r>
              <w:rPr>
                <w:sz w:val="22"/>
                <w:szCs w:val="22"/>
              </w:rPr>
              <w:t>Acumulado por unidad de materia con el PA 043 de 2022.</w:t>
            </w:r>
          </w:p>
          <w:p w14:paraId="45FB0818" w14:textId="77777777" w:rsidR="003B4DFE" w:rsidRDefault="003B4DFE">
            <w:pPr>
              <w:jc w:val="both"/>
              <w:rPr>
                <w:color w:val="000000"/>
                <w:sz w:val="22"/>
                <w:szCs w:val="22"/>
              </w:rPr>
            </w:pPr>
          </w:p>
          <w:p w14:paraId="6A8710C8" w14:textId="77777777" w:rsidR="003B4DFE" w:rsidRDefault="009E6D93">
            <w:pPr>
              <w:jc w:val="both"/>
              <w:rPr>
                <w:color w:val="000000"/>
                <w:sz w:val="22"/>
                <w:szCs w:val="22"/>
              </w:rPr>
            </w:pPr>
            <w:r>
              <w:rPr>
                <w:color w:val="000000"/>
                <w:sz w:val="22"/>
                <w:szCs w:val="22"/>
              </w:rPr>
              <w:t>Ponencia positiva con modificaciones del concejal Álvaro José Argote Muñoz.</w:t>
            </w:r>
          </w:p>
          <w:p w14:paraId="049F31CB" w14:textId="77777777" w:rsidR="003B4DFE" w:rsidRDefault="003B4DFE">
            <w:pPr>
              <w:jc w:val="both"/>
              <w:rPr>
                <w:color w:val="000000"/>
                <w:sz w:val="22"/>
                <w:szCs w:val="22"/>
              </w:rPr>
            </w:pPr>
          </w:p>
          <w:p w14:paraId="246FD7BE" w14:textId="77777777" w:rsidR="003B4DFE" w:rsidRDefault="009E6D93">
            <w:pPr>
              <w:jc w:val="both"/>
              <w:rPr>
                <w:color w:val="000000"/>
                <w:sz w:val="22"/>
                <w:szCs w:val="22"/>
              </w:rPr>
            </w:pPr>
            <w:r>
              <w:rPr>
                <w:color w:val="000000"/>
                <w:sz w:val="22"/>
                <w:szCs w:val="22"/>
              </w:rPr>
              <w:t>Ponencia positiva con modificaciones de la concejal Luz Marina Gordillo Salinas.</w:t>
            </w:r>
          </w:p>
          <w:p w14:paraId="53128261" w14:textId="77777777" w:rsidR="003B4DFE" w:rsidRDefault="003B4DFE">
            <w:pPr>
              <w:jc w:val="both"/>
              <w:rPr>
                <w:color w:val="000000"/>
                <w:sz w:val="22"/>
                <w:szCs w:val="22"/>
              </w:rPr>
            </w:pPr>
          </w:p>
          <w:p w14:paraId="5B93BA41" w14:textId="77777777" w:rsidR="003B4DFE" w:rsidRDefault="009E6D93">
            <w:pPr>
              <w:jc w:val="both"/>
              <w:rPr>
                <w:color w:val="000000"/>
                <w:sz w:val="22"/>
                <w:szCs w:val="22"/>
              </w:rPr>
            </w:pPr>
            <w:r>
              <w:rPr>
                <w:color w:val="000000"/>
                <w:sz w:val="22"/>
                <w:szCs w:val="22"/>
              </w:rPr>
              <w:t>Archivado de conformidad con el artículo 79 del Acuerdo 741 de 2019</w:t>
            </w:r>
            <w:r>
              <w:rPr>
                <w:sz w:val="22"/>
                <w:szCs w:val="22"/>
              </w:rPr>
              <w:t>, por no ser discutido en las sesiones ordinarias de febrero de 2022.</w:t>
            </w:r>
          </w:p>
        </w:tc>
      </w:tr>
      <w:tr w:rsidR="003B4DFE" w14:paraId="285C8FCA" w14:textId="77777777">
        <w:tc>
          <w:tcPr>
            <w:tcW w:w="4415" w:type="dxa"/>
            <w:tcBorders>
              <w:top w:val="single" w:sz="4" w:space="0" w:color="000000"/>
              <w:left w:val="single" w:sz="4" w:space="0" w:color="000000"/>
              <w:bottom w:val="single" w:sz="4" w:space="0" w:color="000000"/>
              <w:right w:val="single" w:sz="4" w:space="0" w:color="000000"/>
            </w:tcBorders>
          </w:tcPr>
          <w:p w14:paraId="65A50CE8" w14:textId="77777777" w:rsidR="003B4DFE" w:rsidRDefault="009E6D93">
            <w:pPr>
              <w:jc w:val="center"/>
              <w:rPr>
                <w:color w:val="000000"/>
                <w:sz w:val="22"/>
                <w:szCs w:val="22"/>
              </w:rPr>
            </w:pPr>
            <w:r>
              <w:rPr>
                <w:color w:val="000000"/>
                <w:sz w:val="22"/>
                <w:szCs w:val="22"/>
              </w:rPr>
              <w:t>206 de 2022</w:t>
            </w:r>
          </w:p>
        </w:tc>
        <w:tc>
          <w:tcPr>
            <w:tcW w:w="4415" w:type="dxa"/>
            <w:tcBorders>
              <w:top w:val="single" w:sz="4" w:space="0" w:color="000000"/>
              <w:left w:val="single" w:sz="4" w:space="0" w:color="000000"/>
              <w:bottom w:val="single" w:sz="4" w:space="0" w:color="000000"/>
              <w:right w:val="single" w:sz="4" w:space="0" w:color="000000"/>
            </w:tcBorders>
          </w:tcPr>
          <w:p w14:paraId="474B37BB" w14:textId="77777777" w:rsidR="003B4DFE" w:rsidRDefault="009E6D93">
            <w:pPr>
              <w:jc w:val="both"/>
              <w:rPr>
                <w:color w:val="000000"/>
                <w:sz w:val="22"/>
                <w:szCs w:val="22"/>
              </w:rPr>
            </w:pPr>
            <w:r>
              <w:rPr>
                <w:color w:val="000000"/>
                <w:sz w:val="22"/>
                <w:szCs w:val="22"/>
              </w:rPr>
              <w:t>Radicado el 09 de abril de 2022 y remitido el 20 de abril a la Comisión Segunda Permanente de Gobierno.</w:t>
            </w:r>
          </w:p>
          <w:p w14:paraId="62486C05" w14:textId="77777777" w:rsidR="003B4DFE" w:rsidRDefault="003B4DFE">
            <w:pPr>
              <w:jc w:val="both"/>
              <w:rPr>
                <w:sz w:val="22"/>
                <w:szCs w:val="22"/>
              </w:rPr>
            </w:pPr>
          </w:p>
          <w:p w14:paraId="4E4F2712" w14:textId="77777777" w:rsidR="003B4DFE" w:rsidRDefault="009E6D93">
            <w:pPr>
              <w:jc w:val="both"/>
              <w:rPr>
                <w:sz w:val="22"/>
                <w:szCs w:val="22"/>
              </w:rPr>
            </w:pPr>
            <w:r>
              <w:rPr>
                <w:sz w:val="22"/>
                <w:szCs w:val="22"/>
              </w:rPr>
              <w:t xml:space="preserve">Acumulado por unidad de materia con el PA 191 de 2022. </w:t>
            </w:r>
          </w:p>
          <w:p w14:paraId="4101652C" w14:textId="77777777" w:rsidR="003B4DFE" w:rsidRDefault="003B4DFE">
            <w:pPr>
              <w:jc w:val="both"/>
              <w:rPr>
                <w:sz w:val="22"/>
                <w:szCs w:val="22"/>
              </w:rPr>
            </w:pPr>
          </w:p>
          <w:p w14:paraId="6022FBD5" w14:textId="77777777" w:rsidR="003B4DFE" w:rsidRDefault="009E6D93">
            <w:pPr>
              <w:jc w:val="both"/>
              <w:rPr>
                <w:color w:val="000000"/>
                <w:sz w:val="22"/>
                <w:szCs w:val="22"/>
              </w:rPr>
            </w:pPr>
            <w:r>
              <w:rPr>
                <w:color w:val="000000"/>
                <w:sz w:val="22"/>
                <w:szCs w:val="22"/>
              </w:rPr>
              <w:t>Ponencia positiva con modificaciones del concejal Carlos Alberto Carrillo Arenas.</w:t>
            </w:r>
          </w:p>
          <w:p w14:paraId="4B99056E" w14:textId="77777777" w:rsidR="003B4DFE" w:rsidRDefault="003B4DFE">
            <w:pPr>
              <w:jc w:val="both"/>
              <w:rPr>
                <w:color w:val="000000"/>
                <w:sz w:val="22"/>
                <w:szCs w:val="22"/>
              </w:rPr>
            </w:pPr>
          </w:p>
          <w:p w14:paraId="55D57BB6" w14:textId="77777777" w:rsidR="003B4DFE" w:rsidRDefault="009E6D93">
            <w:pPr>
              <w:jc w:val="both"/>
              <w:rPr>
                <w:color w:val="000000"/>
                <w:sz w:val="22"/>
                <w:szCs w:val="22"/>
              </w:rPr>
            </w:pPr>
            <w:r>
              <w:rPr>
                <w:color w:val="000000"/>
                <w:sz w:val="22"/>
                <w:szCs w:val="22"/>
              </w:rPr>
              <w:t xml:space="preserve">Ponencia positiva con modificaciones del concejal Edward Aníbal Arias Rubio. </w:t>
            </w:r>
          </w:p>
          <w:p w14:paraId="1299C43A" w14:textId="77777777" w:rsidR="003B4DFE" w:rsidRDefault="003B4DFE">
            <w:pPr>
              <w:jc w:val="both"/>
              <w:rPr>
                <w:color w:val="000000"/>
                <w:sz w:val="22"/>
                <w:szCs w:val="22"/>
              </w:rPr>
            </w:pPr>
          </w:p>
          <w:p w14:paraId="48868FF6" w14:textId="77777777" w:rsidR="003B4DFE" w:rsidRDefault="009E6D93">
            <w:pPr>
              <w:jc w:val="both"/>
              <w:rPr>
                <w:color w:val="000000"/>
                <w:sz w:val="22"/>
                <w:szCs w:val="22"/>
              </w:rPr>
            </w:pPr>
            <w:r>
              <w:rPr>
                <w:color w:val="000000"/>
                <w:sz w:val="22"/>
                <w:szCs w:val="22"/>
              </w:rPr>
              <w:t>Archivado de conformidad con el artículo 79 del Acuerdo 741 de 2019, modificado por el artículo 17 del Acuerdo 837 de 2022</w:t>
            </w:r>
            <w:r>
              <w:rPr>
                <w:sz w:val="22"/>
                <w:szCs w:val="22"/>
              </w:rPr>
              <w:t>, por no ser discutido en las sesiones ordinarias de mayo de 2022.</w:t>
            </w:r>
          </w:p>
          <w:p w14:paraId="4DDBEF00" w14:textId="77777777" w:rsidR="003B4DFE" w:rsidRDefault="003B4DFE">
            <w:pPr>
              <w:jc w:val="both"/>
              <w:rPr>
                <w:color w:val="000000"/>
                <w:sz w:val="22"/>
                <w:szCs w:val="22"/>
              </w:rPr>
            </w:pPr>
          </w:p>
        </w:tc>
      </w:tr>
      <w:tr w:rsidR="003B4DFE" w14:paraId="30585D8A" w14:textId="77777777">
        <w:tc>
          <w:tcPr>
            <w:tcW w:w="4415" w:type="dxa"/>
            <w:tcBorders>
              <w:top w:val="single" w:sz="4" w:space="0" w:color="000000"/>
              <w:left w:val="single" w:sz="4" w:space="0" w:color="000000"/>
              <w:bottom w:val="single" w:sz="4" w:space="0" w:color="000000"/>
              <w:right w:val="single" w:sz="4" w:space="0" w:color="000000"/>
            </w:tcBorders>
          </w:tcPr>
          <w:p w14:paraId="7AF1CB86" w14:textId="77777777" w:rsidR="003B4DFE" w:rsidRDefault="009E6D93">
            <w:pPr>
              <w:jc w:val="center"/>
              <w:rPr>
                <w:color w:val="000000"/>
                <w:sz w:val="22"/>
                <w:szCs w:val="22"/>
              </w:rPr>
            </w:pPr>
            <w:r>
              <w:rPr>
                <w:color w:val="000000"/>
                <w:sz w:val="22"/>
                <w:szCs w:val="22"/>
              </w:rPr>
              <w:t xml:space="preserve">350 de 2022 </w:t>
            </w:r>
          </w:p>
        </w:tc>
        <w:tc>
          <w:tcPr>
            <w:tcW w:w="4415" w:type="dxa"/>
            <w:tcBorders>
              <w:top w:val="single" w:sz="4" w:space="0" w:color="000000"/>
              <w:left w:val="single" w:sz="4" w:space="0" w:color="000000"/>
              <w:bottom w:val="single" w:sz="4" w:space="0" w:color="000000"/>
              <w:right w:val="single" w:sz="4" w:space="0" w:color="000000"/>
            </w:tcBorders>
          </w:tcPr>
          <w:p w14:paraId="798F165F" w14:textId="77777777" w:rsidR="003B4DFE" w:rsidRDefault="009E6D93">
            <w:pPr>
              <w:jc w:val="both"/>
              <w:rPr>
                <w:color w:val="000000"/>
                <w:sz w:val="22"/>
                <w:szCs w:val="22"/>
              </w:rPr>
            </w:pPr>
            <w:r>
              <w:rPr>
                <w:color w:val="000000"/>
                <w:sz w:val="22"/>
                <w:szCs w:val="22"/>
              </w:rPr>
              <w:t>Radicado el 19 de julio de 2022 y remitido el 28 de julio a la Comisión Segunda Permanente de Gobierno.</w:t>
            </w:r>
          </w:p>
          <w:p w14:paraId="0593E644" w14:textId="77777777" w:rsidR="003B4DFE" w:rsidRDefault="009E6D93">
            <w:pPr>
              <w:jc w:val="both"/>
              <w:rPr>
                <w:sz w:val="22"/>
                <w:szCs w:val="22"/>
              </w:rPr>
            </w:pPr>
            <w:r>
              <w:rPr>
                <w:sz w:val="22"/>
                <w:szCs w:val="22"/>
              </w:rPr>
              <w:t xml:space="preserve">Acumulado por unidad de materia con el PA 337 de 2022. </w:t>
            </w:r>
          </w:p>
          <w:p w14:paraId="3461D779" w14:textId="77777777" w:rsidR="003B4DFE" w:rsidRDefault="003B4DFE">
            <w:pPr>
              <w:jc w:val="both"/>
              <w:rPr>
                <w:color w:val="000000"/>
                <w:sz w:val="22"/>
                <w:szCs w:val="22"/>
              </w:rPr>
            </w:pPr>
          </w:p>
          <w:p w14:paraId="7ADE6054" w14:textId="77777777" w:rsidR="003B4DFE" w:rsidRDefault="009E6D93">
            <w:pPr>
              <w:jc w:val="both"/>
              <w:rPr>
                <w:color w:val="000000"/>
                <w:sz w:val="22"/>
                <w:szCs w:val="22"/>
              </w:rPr>
            </w:pPr>
            <w:r>
              <w:rPr>
                <w:color w:val="000000"/>
                <w:sz w:val="22"/>
                <w:szCs w:val="22"/>
              </w:rPr>
              <w:lastRenderedPageBreak/>
              <w:t>Ponencia positiva con modificaciones del concejal Carlos Alberto Carrillo Arenas.</w:t>
            </w:r>
          </w:p>
          <w:p w14:paraId="3CF2D8B6" w14:textId="77777777" w:rsidR="003B4DFE" w:rsidRDefault="003B4DFE">
            <w:pPr>
              <w:jc w:val="both"/>
              <w:rPr>
                <w:color w:val="000000"/>
                <w:sz w:val="22"/>
                <w:szCs w:val="22"/>
              </w:rPr>
            </w:pPr>
          </w:p>
          <w:p w14:paraId="28234C3E" w14:textId="77777777" w:rsidR="003B4DFE" w:rsidRDefault="009E6D93">
            <w:pPr>
              <w:jc w:val="both"/>
              <w:rPr>
                <w:color w:val="000000"/>
                <w:sz w:val="22"/>
                <w:szCs w:val="22"/>
              </w:rPr>
            </w:pPr>
            <w:r>
              <w:rPr>
                <w:color w:val="000000"/>
                <w:sz w:val="22"/>
                <w:szCs w:val="22"/>
              </w:rPr>
              <w:t xml:space="preserve">Ponencia positiva con modificaciones del concejal Edward Aníbal Arias Rubio. </w:t>
            </w:r>
          </w:p>
          <w:p w14:paraId="0FB78278" w14:textId="77777777" w:rsidR="003B4DFE" w:rsidRDefault="003B4DFE">
            <w:pPr>
              <w:jc w:val="both"/>
              <w:rPr>
                <w:color w:val="000000"/>
                <w:sz w:val="22"/>
                <w:szCs w:val="22"/>
              </w:rPr>
            </w:pPr>
          </w:p>
          <w:p w14:paraId="4CF09413" w14:textId="77777777" w:rsidR="003B4DFE" w:rsidRDefault="009E6D93">
            <w:pPr>
              <w:jc w:val="both"/>
              <w:rPr>
                <w:sz w:val="22"/>
                <w:szCs w:val="22"/>
              </w:rPr>
            </w:pPr>
            <w:r>
              <w:rPr>
                <w:color w:val="000000"/>
                <w:sz w:val="22"/>
                <w:szCs w:val="22"/>
              </w:rPr>
              <w:t>Archivado de conformidad con el artículo 79 del Acuerdo 741 de 2019, modificado por el artículo 17 del Acuerdo 837 de 2022</w:t>
            </w:r>
            <w:r>
              <w:rPr>
                <w:sz w:val="22"/>
                <w:szCs w:val="22"/>
              </w:rPr>
              <w:t>, por no ser discutido en las sesiones ordinarias de agosto de 2022.</w:t>
            </w:r>
          </w:p>
          <w:p w14:paraId="1FC39945" w14:textId="77777777" w:rsidR="003B4DFE" w:rsidRDefault="003B4DFE">
            <w:pPr>
              <w:jc w:val="both"/>
              <w:rPr>
                <w:sz w:val="22"/>
                <w:szCs w:val="22"/>
              </w:rPr>
            </w:pPr>
          </w:p>
        </w:tc>
      </w:tr>
      <w:tr w:rsidR="003B4DFE" w14:paraId="5220DDEA" w14:textId="77777777">
        <w:tc>
          <w:tcPr>
            <w:tcW w:w="4415" w:type="dxa"/>
            <w:tcBorders>
              <w:top w:val="single" w:sz="4" w:space="0" w:color="000000"/>
              <w:left w:val="single" w:sz="4" w:space="0" w:color="000000"/>
              <w:bottom w:val="single" w:sz="4" w:space="0" w:color="000000"/>
              <w:right w:val="single" w:sz="4" w:space="0" w:color="000000"/>
            </w:tcBorders>
          </w:tcPr>
          <w:p w14:paraId="78E9D6D3" w14:textId="77777777" w:rsidR="003B4DFE" w:rsidRDefault="009E6D93">
            <w:pPr>
              <w:jc w:val="center"/>
              <w:rPr>
                <w:color w:val="000000"/>
                <w:sz w:val="22"/>
                <w:szCs w:val="22"/>
              </w:rPr>
            </w:pPr>
            <w:r>
              <w:rPr>
                <w:color w:val="000000"/>
                <w:sz w:val="22"/>
                <w:szCs w:val="22"/>
              </w:rPr>
              <w:lastRenderedPageBreak/>
              <w:t xml:space="preserve">480 de 2022 </w:t>
            </w:r>
          </w:p>
        </w:tc>
        <w:tc>
          <w:tcPr>
            <w:tcW w:w="4415" w:type="dxa"/>
            <w:tcBorders>
              <w:top w:val="single" w:sz="4" w:space="0" w:color="000000"/>
              <w:left w:val="single" w:sz="4" w:space="0" w:color="000000"/>
              <w:bottom w:val="single" w:sz="4" w:space="0" w:color="000000"/>
              <w:right w:val="single" w:sz="4" w:space="0" w:color="000000"/>
            </w:tcBorders>
          </w:tcPr>
          <w:p w14:paraId="75921345" w14:textId="77777777" w:rsidR="003B4DFE" w:rsidRDefault="009E6D93">
            <w:pPr>
              <w:jc w:val="both"/>
              <w:rPr>
                <w:color w:val="000000"/>
                <w:sz w:val="22"/>
                <w:szCs w:val="22"/>
              </w:rPr>
            </w:pPr>
            <w:r>
              <w:rPr>
                <w:color w:val="000000"/>
                <w:sz w:val="22"/>
                <w:szCs w:val="22"/>
              </w:rPr>
              <w:t>Radicado el 19 de septiembre de 2022 y remitido el 28 de septiembre a la Comisión Segunda Permanente de Gobierno.</w:t>
            </w:r>
          </w:p>
          <w:p w14:paraId="0562CB0E" w14:textId="77777777" w:rsidR="003B4DFE" w:rsidRDefault="003B4DFE">
            <w:pPr>
              <w:jc w:val="both"/>
              <w:rPr>
                <w:color w:val="000000"/>
                <w:sz w:val="22"/>
                <w:szCs w:val="22"/>
              </w:rPr>
            </w:pPr>
          </w:p>
          <w:p w14:paraId="1EE64359" w14:textId="77777777" w:rsidR="003B4DFE" w:rsidRDefault="009E6D93">
            <w:pPr>
              <w:jc w:val="both"/>
              <w:rPr>
                <w:color w:val="000000"/>
                <w:sz w:val="22"/>
                <w:szCs w:val="22"/>
              </w:rPr>
            </w:pPr>
            <w:r>
              <w:rPr>
                <w:color w:val="000000"/>
                <w:sz w:val="22"/>
                <w:szCs w:val="22"/>
              </w:rPr>
              <w:t>Ponencia positiva con modificaciones del concejal Carlos Alberto Carrillo Arenas.</w:t>
            </w:r>
          </w:p>
          <w:p w14:paraId="34CE0A41" w14:textId="77777777" w:rsidR="003B4DFE" w:rsidRDefault="003B4DFE">
            <w:pPr>
              <w:jc w:val="both"/>
              <w:rPr>
                <w:color w:val="000000"/>
                <w:sz w:val="22"/>
                <w:szCs w:val="22"/>
              </w:rPr>
            </w:pPr>
          </w:p>
          <w:p w14:paraId="63C206C8" w14:textId="77777777" w:rsidR="003B4DFE" w:rsidRDefault="009E6D93">
            <w:pPr>
              <w:jc w:val="both"/>
              <w:rPr>
                <w:color w:val="000000"/>
                <w:sz w:val="22"/>
                <w:szCs w:val="22"/>
              </w:rPr>
            </w:pPr>
            <w:r>
              <w:rPr>
                <w:color w:val="000000"/>
                <w:sz w:val="22"/>
                <w:szCs w:val="22"/>
              </w:rPr>
              <w:t xml:space="preserve">Ponencia positiva con modificaciones del concejal Edward Aníbal Arias Rubio. </w:t>
            </w:r>
          </w:p>
          <w:p w14:paraId="62EBF3C5" w14:textId="77777777" w:rsidR="003B4DFE" w:rsidRDefault="003B4DFE">
            <w:pPr>
              <w:jc w:val="both"/>
              <w:rPr>
                <w:color w:val="000000"/>
                <w:sz w:val="22"/>
                <w:szCs w:val="22"/>
              </w:rPr>
            </w:pPr>
          </w:p>
          <w:p w14:paraId="0DE6B4D2" w14:textId="77777777" w:rsidR="003B4DFE" w:rsidRDefault="009E6D93">
            <w:pPr>
              <w:jc w:val="both"/>
              <w:rPr>
                <w:color w:val="000000"/>
                <w:sz w:val="22"/>
                <w:szCs w:val="22"/>
              </w:rPr>
            </w:pPr>
            <w:r>
              <w:rPr>
                <w:color w:val="000000"/>
                <w:sz w:val="22"/>
                <w:szCs w:val="22"/>
              </w:rPr>
              <w:t xml:space="preserve">Acumulado por unidad de materia con el PA 493 de 2022. </w:t>
            </w:r>
          </w:p>
          <w:p w14:paraId="6D98A12B" w14:textId="77777777" w:rsidR="003B4DFE" w:rsidRDefault="003B4DFE">
            <w:pPr>
              <w:jc w:val="both"/>
              <w:rPr>
                <w:color w:val="000000"/>
                <w:sz w:val="22"/>
                <w:szCs w:val="22"/>
              </w:rPr>
            </w:pPr>
          </w:p>
          <w:p w14:paraId="6B1220E6" w14:textId="77777777" w:rsidR="003B4DFE" w:rsidRDefault="009E6D93">
            <w:pPr>
              <w:jc w:val="both"/>
              <w:rPr>
                <w:color w:val="000000"/>
                <w:sz w:val="22"/>
                <w:szCs w:val="22"/>
              </w:rPr>
            </w:pPr>
            <w:r>
              <w:rPr>
                <w:color w:val="000000"/>
                <w:sz w:val="22"/>
                <w:szCs w:val="22"/>
              </w:rPr>
              <w:t>Archivado de conformidad con el artículo 79 del Acuerdo 741 de 2019, modificado por el artículo 17 del Acuerdo 837 de 2022</w:t>
            </w:r>
            <w:r>
              <w:rPr>
                <w:sz w:val="22"/>
                <w:szCs w:val="22"/>
              </w:rPr>
              <w:t>,  por no ser discutido en las sesiones ordinarias de noviembre de 2022.</w:t>
            </w:r>
          </w:p>
          <w:p w14:paraId="2946DB82" w14:textId="77777777" w:rsidR="003B4DFE" w:rsidRDefault="003B4DFE">
            <w:pPr>
              <w:jc w:val="both"/>
              <w:rPr>
                <w:color w:val="000000"/>
                <w:sz w:val="22"/>
                <w:szCs w:val="22"/>
              </w:rPr>
            </w:pPr>
          </w:p>
        </w:tc>
      </w:tr>
      <w:tr w:rsidR="003B4DFE" w14:paraId="62D76C84" w14:textId="77777777">
        <w:tc>
          <w:tcPr>
            <w:tcW w:w="4415" w:type="dxa"/>
            <w:tcBorders>
              <w:top w:val="single" w:sz="4" w:space="0" w:color="000000"/>
              <w:left w:val="single" w:sz="4" w:space="0" w:color="000000"/>
              <w:bottom w:val="single" w:sz="4" w:space="0" w:color="000000"/>
              <w:right w:val="single" w:sz="4" w:space="0" w:color="000000"/>
            </w:tcBorders>
          </w:tcPr>
          <w:p w14:paraId="41D6BF64" w14:textId="77777777" w:rsidR="003B4DFE" w:rsidRDefault="009E6D93">
            <w:pPr>
              <w:jc w:val="center"/>
              <w:rPr>
                <w:color w:val="000000"/>
                <w:sz w:val="22"/>
                <w:szCs w:val="22"/>
              </w:rPr>
            </w:pPr>
            <w:r>
              <w:rPr>
                <w:sz w:val="22"/>
                <w:szCs w:val="22"/>
              </w:rPr>
              <w:t>083 de 2023</w:t>
            </w:r>
          </w:p>
        </w:tc>
        <w:tc>
          <w:tcPr>
            <w:tcW w:w="4415" w:type="dxa"/>
            <w:tcBorders>
              <w:top w:val="single" w:sz="4" w:space="0" w:color="000000"/>
              <w:left w:val="single" w:sz="4" w:space="0" w:color="000000"/>
              <w:bottom w:val="single" w:sz="4" w:space="0" w:color="000000"/>
              <w:right w:val="single" w:sz="4" w:space="0" w:color="000000"/>
            </w:tcBorders>
          </w:tcPr>
          <w:p w14:paraId="259E04FE" w14:textId="77777777" w:rsidR="003B4DFE" w:rsidRDefault="009E6D93">
            <w:pPr>
              <w:jc w:val="both"/>
              <w:rPr>
                <w:sz w:val="22"/>
                <w:szCs w:val="22"/>
              </w:rPr>
            </w:pPr>
            <w:r>
              <w:rPr>
                <w:sz w:val="22"/>
                <w:szCs w:val="22"/>
              </w:rPr>
              <w:t xml:space="preserve">Radicado el 18 de enero de 2023 y remitido el 22 de enero a la Comisión Segunda Permanente de Gobierno. </w:t>
            </w:r>
          </w:p>
          <w:p w14:paraId="5997CC1D" w14:textId="77777777" w:rsidR="003B4DFE" w:rsidRDefault="003B4DFE">
            <w:pPr>
              <w:jc w:val="both"/>
              <w:rPr>
                <w:sz w:val="22"/>
                <w:szCs w:val="22"/>
              </w:rPr>
            </w:pPr>
          </w:p>
          <w:p w14:paraId="6CDDA391" w14:textId="77777777" w:rsidR="003B4DFE" w:rsidRDefault="009E6D93">
            <w:pPr>
              <w:jc w:val="both"/>
              <w:rPr>
                <w:sz w:val="22"/>
                <w:szCs w:val="22"/>
              </w:rPr>
            </w:pPr>
            <w:r>
              <w:rPr>
                <w:sz w:val="22"/>
                <w:szCs w:val="22"/>
              </w:rPr>
              <w:t xml:space="preserve">Ponencia positiva conjunta con modificaciones de los concejales Celio Nieves y Libardo Asprilla. </w:t>
            </w:r>
          </w:p>
          <w:p w14:paraId="110FFD37" w14:textId="77777777" w:rsidR="003B4DFE" w:rsidRDefault="003B4DFE">
            <w:pPr>
              <w:jc w:val="both"/>
              <w:rPr>
                <w:sz w:val="22"/>
                <w:szCs w:val="22"/>
              </w:rPr>
            </w:pPr>
          </w:p>
          <w:p w14:paraId="1FAB2185" w14:textId="77777777" w:rsidR="003B4DFE" w:rsidRDefault="009E6D93">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febrero de 2023. </w:t>
            </w:r>
          </w:p>
          <w:p w14:paraId="6B699379" w14:textId="77777777" w:rsidR="003B4DFE" w:rsidRDefault="003B4DFE">
            <w:pPr>
              <w:jc w:val="both"/>
              <w:rPr>
                <w:sz w:val="22"/>
                <w:szCs w:val="22"/>
              </w:rPr>
            </w:pPr>
          </w:p>
        </w:tc>
      </w:tr>
      <w:tr w:rsidR="003B4DFE" w14:paraId="18929305" w14:textId="77777777">
        <w:tc>
          <w:tcPr>
            <w:tcW w:w="4415" w:type="dxa"/>
            <w:tcBorders>
              <w:top w:val="single" w:sz="4" w:space="0" w:color="000000"/>
              <w:left w:val="single" w:sz="4" w:space="0" w:color="000000"/>
              <w:bottom w:val="single" w:sz="4" w:space="0" w:color="000000"/>
              <w:right w:val="single" w:sz="4" w:space="0" w:color="000000"/>
            </w:tcBorders>
          </w:tcPr>
          <w:p w14:paraId="0B40B8DC" w14:textId="77777777" w:rsidR="003B4DFE" w:rsidRDefault="009E6D93">
            <w:pPr>
              <w:jc w:val="center"/>
              <w:rPr>
                <w:color w:val="000000"/>
                <w:sz w:val="22"/>
                <w:szCs w:val="22"/>
              </w:rPr>
            </w:pPr>
            <w:r>
              <w:rPr>
                <w:sz w:val="22"/>
                <w:szCs w:val="22"/>
              </w:rPr>
              <w:t>270 de 2023</w:t>
            </w:r>
          </w:p>
        </w:tc>
        <w:tc>
          <w:tcPr>
            <w:tcW w:w="4415" w:type="dxa"/>
            <w:tcBorders>
              <w:top w:val="single" w:sz="4" w:space="0" w:color="000000"/>
              <w:left w:val="single" w:sz="4" w:space="0" w:color="000000"/>
              <w:bottom w:val="single" w:sz="4" w:space="0" w:color="000000"/>
              <w:right w:val="single" w:sz="4" w:space="0" w:color="000000"/>
            </w:tcBorders>
          </w:tcPr>
          <w:p w14:paraId="47B544A4" w14:textId="77777777" w:rsidR="003B4DFE" w:rsidRDefault="009E6D93">
            <w:pPr>
              <w:jc w:val="both"/>
              <w:rPr>
                <w:sz w:val="22"/>
                <w:szCs w:val="22"/>
              </w:rPr>
            </w:pPr>
            <w:r>
              <w:rPr>
                <w:sz w:val="22"/>
                <w:szCs w:val="22"/>
              </w:rPr>
              <w:t xml:space="preserve">Radicado el 4 de abril de 2023 y remitido el 21 de abril a la Comisión Segunda Permanente de Gobierno. </w:t>
            </w:r>
          </w:p>
          <w:p w14:paraId="3FE9F23F" w14:textId="77777777" w:rsidR="003B4DFE" w:rsidRDefault="003B4DFE">
            <w:pPr>
              <w:jc w:val="both"/>
              <w:rPr>
                <w:sz w:val="22"/>
                <w:szCs w:val="22"/>
              </w:rPr>
            </w:pPr>
          </w:p>
          <w:p w14:paraId="30A3419F" w14:textId="77777777" w:rsidR="003B4DFE" w:rsidRDefault="009E6D93">
            <w:pPr>
              <w:jc w:val="both"/>
              <w:rPr>
                <w:sz w:val="22"/>
                <w:szCs w:val="22"/>
              </w:rPr>
            </w:pPr>
            <w:r>
              <w:rPr>
                <w:sz w:val="22"/>
                <w:szCs w:val="22"/>
              </w:rPr>
              <w:t xml:space="preserve">Ponencia positiva conjunta con modificaciones de los concejales Celio Nieves y Libardo Asprilla. </w:t>
            </w:r>
          </w:p>
          <w:p w14:paraId="1F72F646" w14:textId="77777777" w:rsidR="003B4DFE" w:rsidRDefault="003B4DFE">
            <w:pPr>
              <w:jc w:val="both"/>
              <w:rPr>
                <w:sz w:val="22"/>
                <w:szCs w:val="22"/>
              </w:rPr>
            </w:pPr>
          </w:p>
          <w:p w14:paraId="527D63BB" w14:textId="77777777" w:rsidR="003B4DFE" w:rsidRDefault="009E6D93">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mayo de 2023. </w:t>
            </w:r>
          </w:p>
        </w:tc>
      </w:tr>
      <w:tr w:rsidR="003B4DFE" w14:paraId="19FB972B" w14:textId="77777777">
        <w:trPr>
          <w:trHeight w:val="753"/>
        </w:trPr>
        <w:tc>
          <w:tcPr>
            <w:tcW w:w="4415" w:type="dxa"/>
            <w:tcBorders>
              <w:top w:val="single" w:sz="4" w:space="0" w:color="000000"/>
              <w:left w:val="single" w:sz="4" w:space="0" w:color="000000"/>
              <w:bottom w:val="single" w:sz="4" w:space="0" w:color="000000"/>
              <w:right w:val="single" w:sz="4" w:space="0" w:color="000000"/>
            </w:tcBorders>
          </w:tcPr>
          <w:p w14:paraId="0511E5C7" w14:textId="77777777" w:rsidR="003B4DFE" w:rsidRDefault="009E6D93">
            <w:pPr>
              <w:jc w:val="center"/>
              <w:rPr>
                <w:color w:val="000000"/>
                <w:sz w:val="22"/>
                <w:szCs w:val="22"/>
              </w:rPr>
            </w:pPr>
            <w:r>
              <w:rPr>
                <w:sz w:val="22"/>
                <w:szCs w:val="22"/>
              </w:rPr>
              <w:t>381 de 2023</w:t>
            </w:r>
          </w:p>
        </w:tc>
        <w:tc>
          <w:tcPr>
            <w:tcW w:w="4415" w:type="dxa"/>
            <w:tcBorders>
              <w:top w:val="single" w:sz="4" w:space="0" w:color="000000"/>
              <w:left w:val="single" w:sz="4" w:space="0" w:color="000000"/>
              <w:bottom w:val="single" w:sz="4" w:space="0" w:color="000000"/>
              <w:right w:val="single" w:sz="4" w:space="0" w:color="000000"/>
            </w:tcBorders>
          </w:tcPr>
          <w:p w14:paraId="2FA7BECA" w14:textId="77777777" w:rsidR="003B4DFE" w:rsidRDefault="009E6D93">
            <w:pPr>
              <w:jc w:val="both"/>
              <w:rPr>
                <w:sz w:val="22"/>
                <w:szCs w:val="22"/>
              </w:rPr>
            </w:pPr>
            <w:r>
              <w:rPr>
                <w:sz w:val="22"/>
                <w:szCs w:val="22"/>
              </w:rPr>
              <w:t xml:space="preserve">Radicado el 15 de junio de 2023 y remitido el 26 de julio a la Comisión Segunda Permanente de Gobierno. </w:t>
            </w:r>
          </w:p>
          <w:p w14:paraId="08CE6F91" w14:textId="77777777" w:rsidR="003B4DFE" w:rsidRDefault="003B4DFE">
            <w:pPr>
              <w:jc w:val="both"/>
              <w:rPr>
                <w:sz w:val="22"/>
                <w:szCs w:val="22"/>
              </w:rPr>
            </w:pPr>
          </w:p>
          <w:p w14:paraId="7DAF7383" w14:textId="77777777" w:rsidR="003B4DFE" w:rsidRDefault="009E6D93">
            <w:pPr>
              <w:jc w:val="both"/>
              <w:rPr>
                <w:sz w:val="22"/>
                <w:szCs w:val="22"/>
              </w:rPr>
            </w:pPr>
            <w:r>
              <w:rPr>
                <w:sz w:val="22"/>
                <w:szCs w:val="22"/>
              </w:rPr>
              <w:t xml:space="preserve">Ponencia positiva conjunta con modificaciones de los concejales Celio Nieves y Libardo Asprilla. </w:t>
            </w:r>
          </w:p>
          <w:p w14:paraId="61CDCEAD" w14:textId="77777777" w:rsidR="003B4DFE" w:rsidRDefault="003B4DFE">
            <w:pPr>
              <w:jc w:val="both"/>
              <w:rPr>
                <w:sz w:val="22"/>
                <w:szCs w:val="22"/>
              </w:rPr>
            </w:pPr>
          </w:p>
          <w:p w14:paraId="3A03390A" w14:textId="77777777" w:rsidR="003B4DFE" w:rsidRDefault="009E6D93">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agosto de 2023. </w:t>
            </w:r>
          </w:p>
        </w:tc>
      </w:tr>
      <w:tr w:rsidR="003B4DFE" w14:paraId="7E2926A0" w14:textId="77777777">
        <w:tc>
          <w:tcPr>
            <w:tcW w:w="4415" w:type="dxa"/>
            <w:tcBorders>
              <w:top w:val="single" w:sz="4" w:space="0" w:color="000000"/>
              <w:left w:val="single" w:sz="4" w:space="0" w:color="000000"/>
              <w:bottom w:val="single" w:sz="4" w:space="0" w:color="000000"/>
              <w:right w:val="single" w:sz="4" w:space="0" w:color="000000"/>
            </w:tcBorders>
          </w:tcPr>
          <w:p w14:paraId="6E813ADA" w14:textId="77777777" w:rsidR="003B4DFE" w:rsidRDefault="009E6D93">
            <w:pPr>
              <w:jc w:val="center"/>
              <w:rPr>
                <w:color w:val="000000"/>
                <w:sz w:val="22"/>
                <w:szCs w:val="22"/>
              </w:rPr>
            </w:pPr>
            <w:r>
              <w:rPr>
                <w:sz w:val="22"/>
                <w:szCs w:val="22"/>
              </w:rPr>
              <w:t>617 de 2023</w:t>
            </w:r>
          </w:p>
        </w:tc>
        <w:tc>
          <w:tcPr>
            <w:tcW w:w="4415" w:type="dxa"/>
            <w:tcBorders>
              <w:top w:val="single" w:sz="4" w:space="0" w:color="000000"/>
              <w:left w:val="single" w:sz="4" w:space="0" w:color="000000"/>
              <w:bottom w:val="single" w:sz="4" w:space="0" w:color="000000"/>
              <w:right w:val="single" w:sz="4" w:space="0" w:color="000000"/>
            </w:tcBorders>
          </w:tcPr>
          <w:p w14:paraId="30ADFD4E" w14:textId="77777777" w:rsidR="003B4DFE" w:rsidRDefault="009E6D93">
            <w:pPr>
              <w:jc w:val="both"/>
              <w:rPr>
                <w:sz w:val="22"/>
                <w:szCs w:val="22"/>
              </w:rPr>
            </w:pPr>
            <w:r>
              <w:rPr>
                <w:sz w:val="22"/>
                <w:szCs w:val="22"/>
              </w:rPr>
              <w:t xml:space="preserve">Radicado el 30 de septiembre de 2023 y remitido el 11 de noviembre a la Comisión Segunda Permanente de Gobierno. </w:t>
            </w:r>
          </w:p>
          <w:p w14:paraId="6BB9E253" w14:textId="77777777" w:rsidR="003B4DFE" w:rsidRDefault="003B4DFE">
            <w:pPr>
              <w:jc w:val="both"/>
              <w:rPr>
                <w:sz w:val="22"/>
                <w:szCs w:val="22"/>
              </w:rPr>
            </w:pPr>
          </w:p>
          <w:p w14:paraId="3595E734" w14:textId="77777777" w:rsidR="003B4DFE" w:rsidRDefault="009E6D93">
            <w:pPr>
              <w:jc w:val="both"/>
              <w:rPr>
                <w:sz w:val="22"/>
                <w:szCs w:val="22"/>
              </w:rPr>
            </w:pPr>
            <w:r>
              <w:rPr>
                <w:sz w:val="22"/>
                <w:szCs w:val="22"/>
              </w:rPr>
              <w:t xml:space="preserve">Ponencia positiva conjunta con modificaciones de los concejales Celio Nieves y Libardo Asprilla. </w:t>
            </w:r>
          </w:p>
          <w:p w14:paraId="23DE523C" w14:textId="77777777" w:rsidR="003B4DFE" w:rsidRDefault="003B4DFE">
            <w:pPr>
              <w:jc w:val="both"/>
              <w:rPr>
                <w:sz w:val="22"/>
                <w:szCs w:val="22"/>
              </w:rPr>
            </w:pPr>
          </w:p>
          <w:p w14:paraId="676EE560" w14:textId="77777777" w:rsidR="003B4DFE" w:rsidRDefault="009E6D93">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noviembre de 2023. </w:t>
            </w:r>
          </w:p>
        </w:tc>
      </w:tr>
      <w:tr w:rsidR="00446BE5" w14:paraId="4E44222A" w14:textId="77777777">
        <w:tc>
          <w:tcPr>
            <w:tcW w:w="4415" w:type="dxa"/>
            <w:tcBorders>
              <w:top w:val="single" w:sz="4" w:space="0" w:color="000000"/>
              <w:left w:val="single" w:sz="4" w:space="0" w:color="000000"/>
              <w:bottom w:val="single" w:sz="4" w:space="0" w:color="000000"/>
              <w:right w:val="single" w:sz="4" w:space="0" w:color="000000"/>
            </w:tcBorders>
          </w:tcPr>
          <w:p w14:paraId="50D2F4BC" w14:textId="7B4228B1" w:rsidR="00446BE5" w:rsidRDefault="00902F41">
            <w:pPr>
              <w:jc w:val="center"/>
              <w:rPr>
                <w:sz w:val="22"/>
                <w:szCs w:val="22"/>
              </w:rPr>
            </w:pPr>
            <w:r>
              <w:rPr>
                <w:sz w:val="22"/>
                <w:szCs w:val="22"/>
              </w:rPr>
              <w:t xml:space="preserve">077 de 2024 </w:t>
            </w:r>
          </w:p>
        </w:tc>
        <w:tc>
          <w:tcPr>
            <w:tcW w:w="4415" w:type="dxa"/>
            <w:tcBorders>
              <w:top w:val="single" w:sz="4" w:space="0" w:color="000000"/>
              <w:left w:val="single" w:sz="4" w:space="0" w:color="000000"/>
              <w:bottom w:val="single" w:sz="4" w:space="0" w:color="000000"/>
              <w:right w:val="single" w:sz="4" w:space="0" w:color="000000"/>
            </w:tcBorders>
          </w:tcPr>
          <w:p w14:paraId="72D5F8D0" w14:textId="77777777" w:rsidR="00446BE5" w:rsidRDefault="00902F41">
            <w:pPr>
              <w:jc w:val="both"/>
              <w:rPr>
                <w:sz w:val="22"/>
                <w:szCs w:val="22"/>
              </w:rPr>
            </w:pPr>
            <w:r>
              <w:rPr>
                <w:sz w:val="22"/>
                <w:szCs w:val="22"/>
              </w:rPr>
              <w:t xml:space="preserve">Radicado el 10 de enero de 2024 y remitido a la Comisión de Gobierno el 24 de enero de 2024. </w:t>
            </w:r>
          </w:p>
          <w:p w14:paraId="332282C7" w14:textId="77777777" w:rsidR="00902F41" w:rsidRDefault="00902F41">
            <w:pPr>
              <w:jc w:val="both"/>
              <w:rPr>
                <w:sz w:val="22"/>
                <w:szCs w:val="22"/>
              </w:rPr>
            </w:pPr>
          </w:p>
          <w:p w14:paraId="28387080" w14:textId="77777777" w:rsidR="00902F41" w:rsidRDefault="00902F41">
            <w:pPr>
              <w:jc w:val="both"/>
              <w:rPr>
                <w:sz w:val="22"/>
                <w:szCs w:val="22"/>
              </w:rPr>
            </w:pPr>
            <w:r>
              <w:rPr>
                <w:sz w:val="22"/>
                <w:szCs w:val="22"/>
              </w:rPr>
              <w:t>Ponencia positiva conjunta con modificaciones de los concejales Samir José Abisambra y Ricardo Andrés Correa.</w:t>
            </w:r>
          </w:p>
          <w:p w14:paraId="02633C05" w14:textId="77777777" w:rsidR="00902F41" w:rsidRDefault="00902F41">
            <w:pPr>
              <w:jc w:val="both"/>
              <w:rPr>
                <w:sz w:val="22"/>
                <w:szCs w:val="22"/>
              </w:rPr>
            </w:pPr>
          </w:p>
          <w:p w14:paraId="4803A0FF" w14:textId="2A8BF2E2" w:rsidR="00902F41" w:rsidRDefault="00902F41" w:rsidP="00902F41">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febrero de 2024.   </w:t>
            </w:r>
          </w:p>
        </w:tc>
      </w:tr>
      <w:tr w:rsidR="00902F41" w14:paraId="2A5A1106" w14:textId="77777777">
        <w:tc>
          <w:tcPr>
            <w:tcW w:w="4415" w:type="dxa"/>
            <w:tcBorders>
              <w:top w:val="single" w:sz="4" w:space="0" w:color="000000"/>
              <w:left w:val="single" w:sz="4" w:space="0" w:color="000000"/>
              <w:bottom w:val="single" w:sz="4" w:space="0" w:color="000000"/>
              <w:right w:val="single" w:sz="4" w:space="0" w:color="000000"/>
            </w:tcBorders>
          </w:tcPr>
          <w:p w14:paraId="042E4FDC" w14:textId="6920B955" w:rsidR="00902F41" w:rsidRDefault="00A25EC4">
            <w:pPr>
              <w:jc w:val="center"/>
              <w:rPr>
                <w:sz w:val="22"/>
                <w:szCs w:val="22"/>
              </w:rPr>
            </w:pPr>
            <w:r>
              <w:rPr>
                <w:sz w:val="22"/>
                <w:szCs w:val="22"/>
              </w:rPr>
              <w:t xml:space="preserve">283 </w:t>
            </w:r>
            <w:r w:rsidR="00787DA4">
              <w:rPr>
                <w:sz w:val="22"/>
                <w:szCs w:val="22"/>
              </w:rPr>
              <w:t xml:space="preserve">de 2024 </w:t>
            </w:r>
          </w:p>
        </w:tc>
        <w:tc>
          <w:tcPr>
            <w:tcW w:w="4415" w:type="dxa"/>
            <w:tcBorders>
              <w:top w:val="single" w:sz="4" w:space="0" w:color="000000"/>
              <w:left w:val="single" w:sz="4" w:space="0" w:color="000000"/>
              <w:bottom w:val="single" w:sz="4" w:space="0" w:color="000000"/>
              <w:right w:val="single" w:sz="4" w:space="0" w:color="000000"/>
            </w:tcBorders>
          </w:tcPr>
          <w:p w14:paraId="01080181" w14:textId="27D9FD51" w:rsidR="00A25EC4" w:rsidRDefault="00A25EC4" w:rsidP="00A25EC4">
            <w:pPr>
              <w:jc w:val="both"/>
              <w:rPr>
                <w:sz w:val="22"/>
                <w:szCs w:val="22"/>
              </w:rPr>
            </w:pPr>
            <w:r>
              <w:rPr>
                <w:sz w:val="22"/>
                <w:szCs w:val="22"/>
              </w:rPr>
              <w:t xml:space="preserve">Radicado el 20 de marzo de 2024. </w:t>
            </w:r>
          </w:p>
          <w:p w14:paraId="2B2E6797" w14:textId="77777777" w:rsidR="00A25EC4" w:rsidRDefault="00A25EC4" w:rsidP="00A25EC4">
            <w:pPr>
              <w:jc w:val="both"/>
              <w:rPr>
                <w:sz w:val="22"/>
                <w:szCs w:val="22"/>
              </w:rPr>
            </w:pPr>
          </w:p>
          <w:p w14:paraId="2E48C866" w14:textId="77777777" w:rsidR="00A25EC4" w:rsidRDefault="00A25EC4" w:rsidP="00A25EC4">
            <w:pPr>
              <w:jc w:val="both"/>
              <w:rPr>
                <w:sz w:val="22"/>
                <w:szCs w:val="22"/>
              </w:rPr>
            </w:pPr>
            <w:r>
              <w:rPr>
                <w:sz w:val="22"/>
                <w:szCs w:val="22"/>
              </w:rPr>
              <w:t>Ponencia positiva conjunta con modificaciones de los concejales Samir José Abisambra y Ricardo Andrés Correa.</w:t>
            </w:r>
          </w:p>
          <w:p w14:paraId="393CCD68" w14:textId="77777777" w:rsidR="00A25EC4" w:rsidRDefault="00A25EC4" w:rsidP="00A25EC4">
            <w:pPr>
              <w:jc w:val="both"/>
              <w:rPr>
                <w:sz w:val="22"/>
                <w:szCs w:val="22"/>
              </w:rPr>
            </w:pPr>
          </w:p>
          <w:p w14:paraId="7FBA54F4" w14:textId="2EB44E7B" w:rsidR="00902F41" w:rsidRDefault="00A25EC4" w:rsidP="00A25EC4">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mayo de 2024.   </w:t>
            </w:r>
          </w:p>
        </w:tc>
      </w:tr>
      <w:tr w:rsidR="00787DA4" w14:paraId="50808CBF" w14:textId="77777777">
        <w:tc>
          <w:tcPr>
            <w:tcW w:w="4415" w:type="dxa"/>
            <w:tcBorders>
              <w:top w:val="single" w:sz="4" w:space="0" w:color="000000"/>
              <w:left w:val="single" w:sz="4" w:space="0" w:color="000000"/>
              <w:bottom w:val="single" w:sz="4" w:space="0" w:color="000000"/>
              <w:right w:val="single" w:sz="4" w:space="0" w:color="000000"/>
            </w:tcBorders>
          </w:tcPr>
          <w:p w14:paraId="300C697B" w14:textId="191DBA58" w:rsidR="00787DA4" w:rsidRDefault="00787DA4" w:rsidP="00787DA4">
            <w:pPr>
              <w:jc w:val="center"/>
              <w:rPr>
                <w:sz w:val="22"/>
                <w:szCs w:val="22"/>
              </w:rPr>
            </w:pPr>
            <w:r>
              <w:rPr>
                <w:sz w:val="22"/>
                <w:szCs w:val="22"/>
              </w:rPr>
              <w:t xml:space="preserve">506 de 2024 </w:t>
            </w:r>
          </w:p>
        </w:tc>
        <w:tc>
          <w:tcPr>
            <w:tcW w:w="4415" w:type="dxa"/>
            <w:tcBorders>
              <w:top w:val="single" w:sz="4" w:space="0" w:color="000000"/>
              <w:left w:val="single" w:sz="4" w:space="0" w:color="000000"/>
              <w:bottom w:val="single" w:sz="4" w:space="0" w:color="000000"/>
              <w:right w:val="single" w:sz="4" w:space="0" w:color="000000"/>
            </w:tcBorders>
          </w:tcPr>
          <w:p w14:paraId="369A8E02" w14:textId="22596DCE" w:rsidR="00787DA4" w:rsidRDefault="00787DA4" w:rsidP="00787DA4">
            <w:pPr>
              <w:jc w:val="both"/>
              <w:rPr>
                <w:sz w:val="22"/>
                <w:szCs w:val="22"/>
              </w:rPr>
            </w:pPr>
            <w:r>
              <w:rPr>
                <w:sz w:val="22"/>
                <w:szCs w:val="22"/>
              </w:rPr>
              <w:t xml:space="preserve">Radicado el 26 de junio de 2024. </w:t>
            </w:r>
          </w:p>
          <w:p w14:paraId="6246A7CF" w14:textId="77777777" w:rsidR="00787DA4" w:rsidRDefault="00787DA4" w:rsidP="00787DA4">
            <w:pPr>
              <w:jc w:val="both"/>
              <w:rPr>
                <w:sz w:val="22"/>
                <w:szCs w:val="22"/>
              </w:rPr>
            </w:pPr>
          </w:p>
          <w:p w14:paraId="4BA09C2C" w14:textId="77777777" w:rsidR="00787DA4" w:rsidRDefault="00787DA4" w:rsidP="00787DA4">
            <w:pPr>
              <w:jc w:val="both"/>
              <w:rPr>
                <w:sz w:val="22"/>
                <w:szCs w:val="22"/>
              </w:rPr>
            </w:pPr>
            <w:r>
              <w:rPr>
                <w:sz w:val="22"/>
                <w:szCs w:val="22"/>
              </w:rPr>
              <w:t>Ponencia positiva conjunta con modificaciones de los concejales Samir José Abisambra y Ricardo Andrés Correa.</w:t>
            </w:r>
          </w:p>
          <w:p w14:paraId="6B941401" w14:textId="77777777" w:rsidR="00787DA4" w:rsidRDefault="00787DA4" w:rsidP="00787DA4">
            <w:pPr>
              <w:jc w:val="both"/>
              <w:rPr>
                <w:sz w:val="22"/>
                <w:szCs w:val="22"/>
              </w:rPr>
            </w:pPr>
          </w:p>
          <w:p w14:paraId="67375339" w14:textId="0AEFFB0F" w:rsidR="00787DA4" w:rsidRDefault="00787DA4" w:rsidP="00787DA4">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agosto de 2024.   </w:t>
            </w:r>
          </w:p>
        </w:tc>
      </w:tr>
      <w:tr w:rsidR="00787DA4" w14:paraId="24AA8E02" w14:textId="77777777">
        <w:tc>
          <w:tcPr>
            <w:tcW w:w="4415" w:type="dxa"/>
            <w:tcBorders>
              <w:top w:val="single" w:sz="4" w:space="0" w:color="000000"/>
              <w:left w:val="single" w:sz="4" w:space="0" w:color="000000"/>
              <w:bottom w:val="single" w:sz="4" w:space="0" w:color="000000"/>
              <w:right w:val="single" w:sz="4" w:space="0" w:color="000000"/>
            </w:tcBorders>
          </w:tcPr>
          <w:p w14:paraId="1EDE58A8" w14:textId="3A1FC546" w:rsidR="00787DA4" w:rsidRDefault="00787DA4" w:rsidP="00787DA4">
            <w:pPr>
              <w:jc w:val="center"/>
              <w:rPr>
                <w:sz w:val="22"/>
                <w:szCs w:val="22"/>
              </w:rPr>
            </w:pPr>
            <w:r>
              <w:rPr>
                <w:sz w:val="22"/>
                <w:szCs w:val="22"/>
              </w:rPr>
              <w:t>695 de 2024</w:t>
            </w:r>
          </w:p>
        </w:tc>
        <w:tc>
          <w:tcPr>
            <w:tcW w:w="4415" w:type="dxa"/>
            <w:tcBorders>
              <w:top w:val="single" w:sz="4" w:space="0" w:color="000000"/>
              <w:left w:val="single" w:sz="4" w:space="0" w:color="000000"/>
              <w:bottom w:val="single" w:sz="4" w:space="0" w:color="000000"/>
              <w:right w:val="single" w:sz="4" w:space="0" w:color="000000"/>
            </w:tcBorders>
          </w:tcPr>
          <w:p w14:paraId="67736362" w14:textId="6784DC0B" w:rsidR="00787DA4" w:rsidRDefault="00787DA4" w:rsidP="00787DA4">
            <w:pPr>
              <w:jc w:val="both"/>
              <w:rPr>
                <w:sz w:val="22"/>
                <w:szCs w:val="22"/>
              </w:rPr>
            </w:pPr>
            <w:r>
              <w:rPr>
                <w:sz w:val="22"/>
                <w:szCs w:val="22"/>
              </w:rPr>
              <w:t xml:space="preserve">Radicado el 2 de octubre de 2024. </w:t>
            </w:r>
          </w:p>
          <w:p w14:paraId="50B89711" w14:textId="77777777" w:rsidR="00787DA4" w:rsidRDefault="00787DA4" w:rsidP="00787DA4">
            <w:pPr>
              <w:jc w:val="both"/>
              <w:rPr>
                <w:sz w:val="22"/>
                <w:szCs w:val="22"/>
              </w:rPr>
            </w:pPr>
          </w:p>
          <w:p w14:paraId="548859AA" w14:textId="77777777" w:rsidR="00787DA4" w:rsidRDefault="00787DA4" w:rsidP="00787DA4">
            <w:pPr>
              <w:jc w:val="both"/>
              <w:rPr>
                <w:sz w:val="22"/>
                <w:szCs w:val="22"/>
              </w:rPr>
            </w:pPr>
            <w:r>
              <w:rPr>
                <w:sz w:val="22"/>
                <w:szCs w:val="22"/>
              </w:rPr>
              <w:t>Ponencia positiva conjunta con modificaciones de los concejales Samir José Abisambra y Ricardo Andrés Correa.</w:t>
            </w:r>
          </w:p>
          <w:p w14:paraId="0DE4BD95" w14:textId="77777777" w:rsidR="00787DA4" w:rsidRDefault="00787DA4" w:rsidP="00787DA4">
            <w:pPr>
              <w:jc w:val="both"/>
              <w:rPr>
                <w:sz w:val="22"/>
                <w:szCs w:val="22"/>
              </w:rPr>
            </w:pPr>
          </w:p>
          <w:p w14:paraId="52FBE5C5" w14:textId="3C4D90C4" w:rsidR="00787DA4" w:rsidRDefault="00787DA4" w:rsidP="00787DA4">
            <w:pPr>
              <w:jc w:val="both"/>
              <w:rPr>
                <w:sz w:val="22"/>
                <w:szCs w:val="22"/>
              </w:rPr>
            </w:pPr>
            <w:r>
              <w:rPr>
                <w:sz w:val="22"/>
                <w:szCs w:val="22"/>
              </w:rPr>
              <w:t xml:space="preserve">Archivado de conformidad con el artículo 79 del Acuerdo 741 de 2019, modificado por el artículo 17 del Acuerdo 837 de 2022, por no discutirse en las sesiones ordinarias del mes de noviembre de 2024.   </w:t>
            </w:r>
          </w:p>
        </w:tc>
      </w:tr>
    </w:tbl>
    <w:p w14:paraId="52E56223" w14:textId="77777777" w:rsidR="003B4DFE" w:rsidRDefault="003B4DFE">
      <w:pPr>
        <w:jc w:val="both"/>
        <w:rPr>
          <w:color w:val="000000"/>
          <w:sz w:val="22"/>
          <w:szCs w:val="22"/>
        </w:rPr>
      </w:pPr>
    </w:p>
    <w:p w14:paraId="07547A01" w14:textId="77777777" w:rsidR="003B4DFE" w:rsidRDefault="003B4DFE">
      <w:pPr>
        <w:jc w:val="both"/>
        <w:rPr>
          <w:sz w:val="22"/>
          <w:szCs w:val="22"/>
        </w:rPr>
      </w:pPr>
    </w:p>
    <w:p w14:paraId="5043CB0F" w14:textId="77777777" w:rsidR="00D215FF" w:rsidRDefault="00D215FF">
      <w:pPr>
        <w:rPr>
          <w:sz w:val="22"/>
          <w:szCs w:val="22"/>
        </w:rPr>
      </w:pPr>
      <w:r>
        <w:rPr>
          <w:sz w:val="22"/>
          <w:szCs w:val="22"/>
        </w:rPr>
        <w:br w:type="page"/>
      </w:r>
    </w:p>
    <w:p w14:paraId="0318AF47" w14:textId="77777777" w:rsidR="003B4DFE" w:rsidRDefault="009E6D93">
      <w:pPr>
        <w:numPr>
          <w:ilvl w:val="0"/>
          <w:numId w:val="7"/>
        </w:numPr>
        <w:pBdr>
          <w:top w:val="nil"/>
          <w:left w:val="nil"/>
          <w:bottom w:val="nil"/>
          <w:right w:val="nil"/>
          <w:between w:val="nil"/>
        </w:pBdr>
        <w:ind w:left="142" w:hanging="142"/>
        <w:jc w:val="both"/>
        <w:rPr>
          <w:b/>
          <w:color w:val="000000"/>
          <w:sz w:val="22"/>
          <w:szCs w:val="22"/>
        </w:rPr>
      </w:pPr>
      <w:r>
        <w:rPr>
          <w:b/>
          <w:color w:val="000000"/>
          <w:sz w:val="22"/>
          <w:szCs w:val="22"/>
        </w:rPr>
        <w:t>SUSTENTO JURÍDICO</w:t>
      </w:r>
    </w:p>
    <w:p w14:paraId="6537F28F" w14:textId="77777777" w:rsidR="003B4DFE" w:rsidRDefault="003B4DFE">
      <w:pPr>
        <w:jc w:val="both"/>
        <w:rPr>
          <w:b/>
          <w:color w:val="000000"/>
          <w:sz w:val="22"/>
          <w:szCs w:val="22"/>
        </w:rPr>
      </w:pPr>
    </w:p>
    <w:p w14:paraId="0619B1C6" w14:textId="77777777" w:rsidR="003B4DFE" w:rsidRDefault="009E6D93">
      <w:pPr>
        <w:jc w:val="both"/>
        <w:rPr>
          <w:b/>
          <w:color w:val="000000"/>
          <w:sz w:val="22"/>
          <w:szCs w:val="22"/>
        </w:rPr>
      </w:pPr>
      <w:r>
        <w:rPr>
          <w:b/>
          <w:color w:val="000000"/>
          <w:sz w:val="22"/>
          <w:szCs w:val="22"/>
        </w:rPr>
        <w:t>4</w:t>
      </w:r>
      <w:r>
        <w:rPr>
          <w:b/>
          <w:color w:val="000000"/>
          <w:sz w:val="22"/>
          <w:szCs w:val="22"/>
          <w:u w:val="single"/>
        </w:rPr>
        <w:t>.1.  DEL ORDEN NACIONAL.</w:t>
      </w:r>
    </w:p>
    <w:p w14:paraId="6DFB9E20" w14:textId="77777777" w:rsidR="003B4DFE" w:rsidRDefault="003B4DFE">
      <w:pPr>
        <w:jc w:val="both"/>
        <w:rPr>
          <w:b/>
          <w:color w:val="000000"/>
          <w:sz w:val="22"/>
          <w:szCs w:val="22"/>
        </w:rPr>
      </w:pPr>
    </w:p>
    <w:p w14:paraId="2E8B2EE7" w14:textId="77777777" w:rsidR="003B4DFE" w:rsidRDefault="009E6D93">
      <w:pPr>
        <w:numPr>
          <w:ilvl w:val="0"/>
          <w:numId w:val="2"/>
        </w:numPr>
        <w:pBdr>
          <w:top w:val="nil"/>
          <w:left w:val="nil"/>
          <w:bottom w:val="nil"/>
          <w:right w:val="nil"/>
          <w:between w:val="nil"/>
        </w:pBdr>
        <w:jc w:val="both"/>
        <w:rPr>
          <w:b/>
          <w:color w:val="000000"/>
          <w:sz w:val="22"/>
          <w:szCs w:val="22"/>
        </w:rPr>
      </w:pPr>
      <w:r>
        <w:rPr>
          <w:b/>
          <w:color w:val="000000"/>
          <w:sz w:val="22"/>
          <w:szCs w:val="22"/>
        </w:rPr>
        <w:t>CONSTITUCIÓN POLÍTICA DE COLOMBIA DE 1991.</w:t>
      </w:r>
    </w:p>
    <w:p w14:paraId="70DF9E56" w14:textId="77777777" w:rsidR="003B4DFE" w:rsidRDefault="003B4DFE">
      <w:pPr>
        <w:jc w:val="both"/>
        <w:rPr>
          <w:b/>
          <w:color w:val="000000"/>
          <w:sz w:val="22"/>
          <w:szCs w:val="22"/>
        </w:rPr>
      </w:pPr>
    </w:p>
    <w:p w14:paraId="54CB561F" w14:textId="77777777" w:rsidR="003B4DFE" w:rsidRDefault="009E6D93">
      <w:pPr>
        <w:ind w:left="709"/>
        <w:jc w:val="both"/>
        <w:rPr>
          <w:color w:val="000000"/>
          <w:sz w:val="22"/>
          <w:szCs w:val="22"/>
        </w:rPr>
      </w:pPr>
      <w:r>
        <w:rPr>
          <w:b/>
          <w:color w:val="000000"/>
          <w:sz w:val="22"/>
          <w:szCs w:val="22"/>
        </w:rPr>
        <w:t>Artículo 1</w:t>
      </w:r>
      <w:r>
        <w:rPr>
          <w:color w:val="000000"/>
          <w:sz w:val="22"/>
          <w:szCs w:val="22"/>
        </w:rPr>
        <w:t xml:space="preserve">. Colombia es un Estado social de derecho, organizado en forma de República unitaria, descentralizada, con autonomía de sus entidades territoriales, democrática, participativa y pluralista, fundada en el respeto de la dignidad humana ARTÍCULO 2.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p>
    <w:p w14:paraId="44E871BC" w14:textId="77777777" w:rsidR="003B4DFE" w:rsidRDefault="003B4DFE">
      <w:pPr>
        <w:jc w:val="both"/>
        <w:rPr>
          <w:color w:val="000000"/>
          <w:sz w:val="22"/>
          <w:szCs w:val="22"/>
        </w:rPr>
      </w:pPr>
    </w:p>
    <w:p w14:paraId="6020EA7A" w14:textId="77777777" w:rsidR="003B4DFE" w:rsidRDefault="009E6D93">
      <w:pPr>
        <w:ind w:left="709"/>
        <w:jc w:val="both"/>
        <w:rPr>
          <w:color w:val="000000"/>
          <w:sz w:val="22"/>
          <w:szCs w:val="22"/>
        </w:rPr>
      </w:pPr>
      <w:r>
        <w:rPr>
          <w:color w:val="000000"/>
          <w:sz w:val="22"/>
          <w:szCs w:val="22"/>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144A5D23" w14:textId="77777777" w:rsidR="003B4DFE" w:rsidRDefault="003B4DFE">
      <w:pPr>
        <w:jc w:val="both"/>
        <w:rPr>
          <w:b/>
          <w:color w:val="000000"/>
          <w:sz w:val="22"/>
          <w:szCs w:val="22"/>
        </w:rPr>
      </w:pPr>
    </w:p>
    <w:p w14:paraId="0B79BE61" w14:textId="77777777" w:rsidR="003B4DFE" w:rsidRDefault="009E6D93">
      <w:pPr>
        <w:ind w:left="709"/>
        <w:jc w:val="both"/>
        <w:rPr>
          <w:color w:val="000000"/>
          <w:sz w:val="22"/>
          <w:szCs w:val="22"/>
        </w:rPr>
      </w:pPr>
      <w:r>
        <w:rPr>
          <w:b/>
          <w:color w:val="000000"/>
          <w:sz w:val="22"/>
          <w:szCs w:val="22"/>
        </w:rPr>
        <w:t>Artículo 5.</w:t>
      </w:r>
      <w:r>
        <w:rPr>
          <w:color w:val="000000"/>
          <w:sz w:val="22"/>
          <w:szCs w:val="22"/>
        </w:rPr>
        <w:t xml:space="preserve"> El Estado reconoce, sin discriminación alguna, la primacía de los derechos inalienables de la persona y ampara a la familia como institución básica de la sociedad.</w:t>
      </w:r>
    </w:p>
    <w:p w14:paraId="738610EB" w14:textId="77777777" w:rsidR="003B4DFE" w:rsidRDefault="003B4DFE">
      <w:pPr>
        <w:jc w:val="both"/>
        <w:rPr>
          <w:color w:val="000000"/>
          <w:sz w:val="22"/>
          <w:szCs w:val="22"/>
        </w:rPr>
      </w:pPr>
    </w:p>
    <w:p w14:paraId="6F93EC6C" w14:textId="77777777" w:rsidR="003B4DFE" w:rsidRDefault="009E6D93">
      <w:pPr>
        <w:ind w:firstLine="709"/>
        <w:jc w:val="both"/>
        <w:rPr>
          <w:color w:val="000000"/>
          <w:sz w:val="22"/>
          <w:szCs w:val="22"/>
        </w:rPr>
      </w:pPr>
      <w:bookmarkStart w:id="2" w:name="bookmark=id.30j0zll" w:colFirst="0" w:colLast="0"/>
      <w:bookmarkEnd w:id="2"/>
      <w:r>
        <w:rPr>
          <w:b/>
          <w:color w:val="000000"/>
          <w:sz w:val="22"/>
          <w:szCs w:val="22"/>
        </w:rPr>
        <w:t>Artículo 11. </w:t>
      </w:r>
      <w:r>
        <w:rPr>
          <w:color w:val="000000"/>
          <w:sz w:val="22"/>
          <w:szCs w:val="22"/>
        </w:rPr>
        <w:t>El derecho a la vida es inviolable. No habrá pena de muerte.</w:t>
      </w:r>
    </w:p>
    <w:p w14:paraId="637805D2" w14:textId="77777777" w:rsidR="003B4DFE" w:rsidRDefault="003B4DFE">
      <w:pPr>
        <w:jc w:val="both"/>
        <w:rPr>
          <w:color w:val="000000"/>
          <w:sz w:val="22"/>
          <w:szCs w:val="22"/>
        </w:rPr>
      </w:pPr>
    </w:p>
    <w:p w14:paraId="3256D803" w14:textId="77777777" w:rsidR="003B4DFE" w:rsidRDefault="009E6D93">
      <w:pPr>
        <w:ind w:left="709"/>
        <w:jc w:val="both"/>
        <w:rPr>
          <w:color w:val="000000"/>
          <w:sz w:val="22"/>
          <w:szCs w:val="22"/>
        </w:rPr>
      </w:pPr>
      <w:bookmarkStart w:id="3" w:name="bookmark=id.1fob9te" w:colFirst="0" w:colLast="0"/>
      <w:bookmarkEnd w:id="3"/>
      <w:r>
        <w:rPr>
          <w:b/>
          <w:color w:val="000000"/>
          <w:sz w:val="22"/>
          <w:szCs w:val="22"/>
        </w:rPr>
        <w:t>Artículo 13.</w:t>
      </w:r>
      <w:r>
        <w:rPr>
          <w:color w:val="000000"/>
          <w:sz w:val="22"/>
          <w:szCs w:val="22"/>
        </w:rPr>
        <w:t>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463F29E8" w14:textId="77777777" w:rsidR="003B4DFE" w:rsidRDefault="003B4DFE">
      <w:pPr>
        <w:jc w:val="both"/>
        <w:rPr>
          <w:color w:val="000000"/>
          <w:sz w:val="22"/>
          <w:szCs w:val="22"/>
        </w:rPr>
      </w:pPr>
    </w:p>
    <w:p w14:paraId="0F23DB14" w14:textId="77777777" w:rsidR="003B4DFE" w:rsidRDefault="009E6D93">
      <w:pPr>
        <w:ind w:left="709"/>
        <w:jc w:val="both"/>
        <w:rPr>
          <w:color w:val="000000"/>
          <w:sz w:val="22"/>
          <w:szCs w:val="22"/>
        </w:rPr>
      </w:pPr>
      <w:r>
        <w:rPr>
          <w:b/>
          <w:color w:val="000000"/>
          <w:sz w:val="22"/>
          <w:szCs w:val="22"/>
        </w:rPr>
        <w:t>Artículo 42.</w:t>
      </w:r>
      <w:r>
        <w:rPr>
          <w:color w:val="000000"/>
          <w:sz w:val="22"/>
          <w:szCs w:val="22"/>
        </w:rPr>
        <w:t xml:space="preserve"> La familia es el núcleo fundamental de la sociedad. Se constituye por vínculos naturales o jurídicos, por la decisión libre de un hombre y una mujer de contraer matrimonio o por la voluntad responsable de conformarla. </w:t>
      </w:r>
    </w:p>
    <w:p w14:paraId="3B7B4B86" w14:textId="77777777" w:rsidR="003B4DFE" w:rsidRDefault="003B4DFE">
      <w:pPr>
        <w:jc w:val="both"/>
        <w:rPr>
          <w:color w:val="000000"/>
          <w:sz w:val="22"/>
          <w:szCs w:val="22"/>
        </w:rPr>
      </w:pPr>
    </w:p>
    <w:p w14:paraId="23DEAD75" w14:textId="77777777" w:rsidR="003B4DFE" w:rsidRDefault="009E6D93">
      <w:pPr>
        <w:ind w:left="709"/>
        <w:jc w:val="both"/>
        <w:rPr>
          <w:color w:val="000000"/>
          <w:sz w:val="22"/>
          <w:szCs w:val="22"/>
        </w:rPr>
      </w:pPr>
      <w:r>
        <w:rPr>
          <w:color w:val="000000"/>
          <w:sz w:val="22"/>
          <w:szCs w:val="22"/>
        </w:rPr>
        <w:t xml:space="preserve">El Estado y la sociedad garantizan la protección integral de la familia. La ley podrá determinar el patrimonio familiar inalienable e inembargable. </w:t>
      </w:r>
    </w:p>
    <w:p w14:paraId="3A0FF5F2" w14:textId="77777777" w:rsidR="003B4DFE" w:rsidRDefault="003B4DFE">
      <w:pPr>
        <w:jc w:val="both"/>
        <w:rPr>
          <w:color w:val="000000"/>
          <w:sz w:val="22"/>
          <w:szCs w:val="22"/>
        </w:rPr>
      </w:pPr>
    </w:p>
    <w:p w14:paraId="75CE51DB" w14:textId="77777777" w:rsidR="003B4DFE" w:rsidRDefault="009E6D93">
      <w:pPr>
        <w:ind w:firstLine="709"/>
        <w:jc w:val="both"/>
        <w:rPr>
          <w:color w:val="000000"/>
          <w:sz w:val="22"/>
          <w:szCs w:val="22"/>
        </w:rPr>
      </w:pPr>
      <w:r>
        <w:rPr>
          <w:color w:val="000000"/>
          <w:sz w:val="22"/>
          <w:szCs w:val="22"/>
        </w:rPr>
        <w:t>La honra, la dignidad y la intimidad de la familia son inviolables.</w:t>
      </w:r>
    </w:p>
    <w:p w14:paraId="5630AD66" w14:textId="77777777" w:rsidR="003B4DFE" w:rsidRDefault="003B4DFE">
      <w:pPr>
        <w:jc w:val="both"/>
        <w:rPr>
          <w:color w:val="000000"/>
          <w:sz w:val="22"/>
          <w:szCs w:val="22"/>
        </w:rPr>
      </w:pPr>
    </w:p>
    <w:p w14:paraId="74E45290" w14:textId="77777777" w:rsidR="003B4DFE" w:rsidRDefault="009E6D93">
      <w:pPr>
        <w:ind w:left="709"/>
        <w:jc w:val="both"/>
        <w:rPr>
          <w:color w:val="000000"/>
          <w:sz w:val="22"/>
          <w:szCs w:val="22"/>
        </w:rPr>
      </w:pPr>
      <w:r>
        <w:rPr>
          <w:color w:val="000000"/>
          <w:sz w:val="22"/>
          <w:szCs w:val="22"/>
        </w:rPr>
        <w:t>Las relaciones familiares se basan en la igualdad de derechos y deberes de la pareja y en el respeto recíproco entre todos sus integrantes.</w:t>
      </w:r>
    </w:p>
    <w:p w14:paraId="101ED827" w14:textId="77777777" w:rsidR="003B4DFE" w:rsidRDefault="009E6D93">
      <w:pPr>
        <w:ind w:left="709"/>
        <w:jc w:val="both"/>
        <w:rPr>
          <w:color w:val="000000"/>
          <w:sz w:val="22"/>
          <w:szCs w:val="22"/>
        </w:rPr>
      </w:pPr>
      <w:r>
        <w:rPr>
          <w:color w:val="000000"/>
          <w:sz w:val="22"/>
          <w:szCs w:val="22"/>
        </w:rPr>
        <w:t xml:space="preserve">Cualquier forma de violencia en la familia se considera destructiva de su armonía y unidad, y será sancionada conforme a la ley. </w:t>
      </w:r>
    </w:p>
    <w:p w14:paraId="61829076" w14:textId="77777777" w:rsidR="003B4DFE" w:rsidRDefault="003B4DFE">
      <w:pPr>
        <w:jc w:val="both"/>
        <w:rPr>
          <w:color w:val="000000"/>
          <w:sz w:val="22"/>
          <w:szCs w:val="22"/>
        </w:rPr>
      </w:pPr>
    </w:p>
    <w:p w14:paraId="67EC6252" w14:textId="77777777" w:rsidR="003B4DFE" w:rsidRDefault="009E6D93">
      <w:pPr>
        <w:ind w:left="709"/>
        <w:jc w:val="both"/>
        <w:rPr>
          <w:color w:val="000000"/>
          <w:sz w:val="22"/>
          <w:szCs w:val="22"/>
        </w:rPr>
      </w:pPr>
      <w:r>
        <w:rPr>
          <w:color w:val="000000"/>
          <w:sz w:val="22"/>
          <w:szCs w:val="22"/>
        </w:rPr>
        <w:t xml:space="preserve">Los hijos habidos en el matrimonio o fuera de él, adoptados o procreados naturalmente o con asistencia científica, tienen iguales derechos y deberes. </w:t>
      </w:r>
    </w:p>
    <w:p w14:paraId="2BA226A1" w14:textId="77777777" w:rsidR="003B4DFE" w:rsidRDefault="003B4DFE">
      <w:pPr>
        <w:jc w:val="both"/>
        <w:rPr>
          <w:color w:val="000000"/>
          <w:sz w:val="22"/>
          <w:szCs w:val="22"/>
        </w:rPr>
      </w:pPr>
    </w:p>
    <w:p w14:paraId="5108A368" w14:textId="77777777" w:rsidR="003B4DFE" w:rsidRDefault="009E6D93">
      <w:pPr>
        <w:ind w:firstLine="709"/>
        <w:jc w:val="both"/>
        <w:rPr>
          <w:color w:val="000000"/>
          <w:sz w:val="22"/>
          <w:szCs w:val="22"/>
        </w:rPr>
      </w:pPr>
      <w:r>
        <w:rPr>
          <w:color w:val="000000"/>
          <w:sz w:val="22"/>
          <w:szCs w:val="22"/>
        </w:rPr>
        <w:t xml:space="preserve">La ley reglamentará la progenitura responsable. </w:t>
      </w:r>
    </w:p>
    <w:p w14:paraId="17AD93B2" w14:textId="77777777" w:rsidR="003B4DFE" w:rsidRDefault="003B4DFE">
      <w:pPr>
        <w:jc w:val="both"/>
        <w:rPr>
          <w:color w:val="000000"/>
          <w:sz w:val="22"/>
          <w:szCs w:val="22"/>
        </w:rPr>
      </w:pPr>
    </w:p>
    <w:p w14:paraId="00DA1368" w14:textId="77777777" w:rsidR="003B4DFE" w:rsidRDefault="009E6D93">
      <w:pPr>
        <w:ind w:left="709"/>
        <w:jc w:val="both"/>
        <w:rPr>
          <w:color w:val="000000"/>
          <w:sz w:val="22"/>
          <w:szCs w:val="22"/>
        </w:rPr>
      </w:pPr>
      <w:r>
        <w:rPr>
          <w:color w:val="000000"/>
          <w:sz w:val="22"/>
          <w:szCs w:val="22"/>
        </w:rPr>
        <w:t>La pareja tiene derecho a decidir libre y responsablemente el número de sus hijos, y deberá sostenerlos y educarlos mientras sean menores o impedidos.</w:t>
      </w:r>
    </w:p>
    <w:p w14:paraId="0DE4B5B7" w14:textId="77777777" w:rsidR="003B4DFE" w:rsidRDefault="003B4DFE">
      <w:pPr>
        <w:jc w:val="both"/>
        <w:rPr>
          <w:color w:val="000000"/>
          <w:sz w:val="22"/>
          <w:szCs w:val="22"/>
        </w:rPr>
      </w:pPr>
    </w:p>
    <w:p w14:paraId="010AF899" w14:textId="77777777" w:rsidR="003B4DFE" w:rsidRDefault="009E6D93">
      <w:pPr>
        <w:ind w:left="709"/>
        <w:jc w:val="both"/>
        <w:rPr>
          <w:color w:val="000000"/>
          <w:sz w:val="22"/>
          <w:szCs w:val="22"/>
        </w:rPr>
      </w:pPr>
      <w:r>
        <w:rPr>
          <w:color w:val="000000"/>
          <w:sz w:val="22"/>
          <w:szCs w:val="22"/>
        </w:rPr>
        <w:t xml:space="preserve">Las formas del matrimonio, la edad y capacidad para contraerlo, los deberes y derechos de los cónyuges, su separación y la disolución del vínculo, se rigen por la ley civil. </w:t>
      </w:r>
    </w:p>
    <w:p w14:paraId="66204FF1" w14:textId="77777777" w:rsidR="003B4DFE" w:rsidRDefault="003B4DFE">
      <w:pPr>
        <w:jc w:val="both"/>
        <w:rPr>
          <w:color w:val="000000"/>
          <w:sz w:val="22"/>
          <w:szCs w:val="22"/>
        </w:rPr>
      </w:pPr>
    </w:p>
    <w:p w14:paraId="34F16179" w14:textId="77777777" w:rsidR="003B4DFE" w:rsidRDefault="009E6D93">
      <w:pPr>
        <w:ind w:left="709"/>
        <w:jc w:val="both"/>
        <w:rPr>
          <w:color w:val="000000"/>
          <w:sz w:val="22"/>
          <w:szCs w:val="22"/>
        </w:rPr>
      </w:pPr>
      <w:r>
        <w:rPr>
          <w:color w:val="000000"/>
          <w:sz w:val="22"/>
          <w:szCs w:val="22"/>
        </w:rPr>
        <w:t xml:space="preserve">Los matrimonios religiosos tendrán efectos civiles en los términos que establezca la ley. </w:t>
      </w:r>
    </w:p>
    <w:p w14:paraId="2DBF0D7D" w14:textId="77777777" w:rsidR="003B4DFE" w:rsidRDefault="003B4DFE">
      <w:pPr>
        <w:jc w:val="both"/>
        <w:rPr>
          <w:color w:val="000000"/>
          <w:sz w:val="22"/>
          <w:szCs w:val="22"/>
        </w:rPr>
      </w:pPr>
    </w:p>
    <w:p w14:paraId="1C791A67" w14:textId="77777777" w:rsidR="003B4DFE" w:rsidRDefault="009E6D93">
      <w:pPr>
        <w:ind w:left="720"/>
        <w:jc w:val="both"/>
        <w:rPr>
          <w:color w:val="000000"/>
          <w:sz w:val="22"/>
          <w:szCs w:val="22"/>
        </w:rPr>
      </w:pPr>
      <w:r>
        <w:rPr>
          <w:color w:val="000000"/>
          <w:sz w:val="22"/>
          <w:szCs w:val="22"/>
        </w:rPr>
        <w:t xml:space="preserve">Los efectos civiles de todo matrimonio cesarán por divorcio con arreglo a la ley civil. </w:t>
      </w:r>
    </w:p>
    <w:p w14:paraId="6B62F1B3" w14:textId="77777777" w:rsidR="003B4DFE" w:rsidRDefault="003B4DFE">
      <w:pPr>
        <w:jc w:val="both"/>
        <w:rPr>
          <w:color w:val="000000"/>
          <w:sz w:val="22"/>
          <w:szCs w:val="22"/>
        </w:rPr>
      </w:pPr>
    </w:p>
    <w:p w14:paraId="546E1C09" w14:textId="77777777" w:rsidR="003B4DFE" w:rsidRDefault="009E6D93">
      <w:pPr>
        <w:ind w:left="709"/>
        <w:jc w:val="both"/>
        <w:rPr>
          <w:color w:val="000000"/>
          <w:sz w:val="22"/>
          <w:szCs w:val="22"/>
        </w:rPr>
      </w:pPr>
      <w:r>
        <w:rPr>
          <w:color w:val="000000"/>
          <w:sz w:val="22"/>
          <w:szCs w:val="22"/>
        </w:rPr>
        <w:t xml:space="preserve">También tendrán efectos civiles las sentencias de nulidad de los matrimonios religiosos dictadas por las autoridades de la respectiva religión, en los términos que establezca la ley. </w:t>
      </w:r>
    </w:p>
    <w:p w14:paraId="02F2C34E" w14:textId="77777777" w:rsidR="003B4DFE" w:rsidRDefault="003B4DFE">
      <w:pPr>
        <w:jc w:val="both"/>
        <w:rPr>
          <w:color w:val="000000"/>
          <w:sz w:val="22"/>
          <w:szCs w:val="22"/>
        </w:rPr>
      </w:pPr>
    </w:p>
    <w:p w14:paraId="2AFA8C7C" w14:textId="77777777" w:rsidR="003B4DFE" w:rsidRDefault="009E6D93">
      <w:pPr>
        <w:ind w:left="709"/>
        <w:jc w:val="both"/>
        <w:rPr>
          <w:color w:val="000000"/>
          <w:sz w:val="22"/>
          <w:szCs w:val="22"/>
        </w:rPr>
      </w:pPr>
      <w:r>
        <w:rPr>
          <w:color w:val="000000"/>
          <w:sz w:val="22"/>
          <w:szCs w:val="22"/>
        </w:rPr>
        <w:t xml:space="preserve">La ley determinará lo relativo al estado civil de las personas y los consiguientes derechos y deberes. </w:t>
      </w:r>
    </w:p>
    <w:p w14:paraId="680A4E5D" w14:textId="77777777" w:rsidR="003B4DFE" w:rsidRDefault="003B4DFE">
      <w:pPr>
        <w:jc w:val="both"/>
        <w:rPr>
          <w:color w:val="000000"/>
          <w:sz w:val="22"/>
          <w:szCs w:val="22"/>
        </w:rPr>
      </w:pPr>
    </w:p>
    <w:p w14:paraId="1F7D77A6" w14:textId="77777777" w:rsidR="003B4DFE" w:rsidRDefault="009E6D93">
      <w:pPr>
        <w:ind w:left="709"/>
        <w:jc w:val="both"/>
        <w:rPr>
          <w:color w:val="000000"/>
          <w:sz w:val="22"/>
          <w:szCs w:val="22"/>
        </w:rPr>
      </w:pPr>
      <w:r>
        <w:rPr>
          <w:b/>
          <w:color w:val="000000"/>
          <w:sz w:val="22"/>
          <w:szCs w:val="22"/>
        </w:rPr>
        <w:t>Artículo 43.</w:t>
      </w:r>
      <w:r>
        <w:rPr>
          <w:color w:val="000000"/>
          <w:sz w:val="22"/>
          <w:szCs w:val="22"/>
        </w:rPr>
        <w:t xml:space="preserve"> La mujer y el hombre tienen iguales derechos y oportunidades. La mujer no podrá ser sometida a ninguna clase de discriminación. Durante el embarazo y después del parto gozará de especial asistencia y protección del Estado, y recibirá de este subsidio alimentario si entonces estuviere desempleada o desamparada. </w:t>
      </w:r>
    </w:p>
    <w:p w14:paraId="19219836" w14:textId="77777777" w:rsidR="003B4DFE" w:rsidRDefault="003B4DFE">
      <w:pPr>
        <w:jc w:val="both"/>
        <w:rPr>
          <w:color w:val="000000"/>
          <w:sz w:val="22"/>
          <w:szCs w:val="22"/>
        </w:rPr>
      </w:pPr>
    </w:p>
    <w:p w14:paraId="79F9C418" w14:textId="77777777" w:rsidR="003B4DFE" w:rsidRDefault="009E6D93">
      <w:pPr>
        <w:ind w:firstLine="709"/>
        <w:jc w:val="both"/>
        <w:rPr>
          <w:color w:val="000000"/>
          <w:sz w:val="22"/>
          <w:szCs w:val="22"/>
        </w:rPr>
      </w:pPr>
      <w:r>
        <w:rPr>
          <w:color w:val="000000"/>
          <w:sz w:val="22"/>
          <w:szCs w:val="22"/>
        </w:rPr>
        <w:t>El Estado apoyará de manera especial a la mujer cabeza de familia.</w:t>
      </w:r>
    </w:p>
    <w:p w14:paraId="296FEF7D" w14:textId="77777777" w:rsidR="003B4DFE" w:rsidRDefault="003B4DFE">
      <w:pPr>
        <w:jc w:val="both"/>
        <w:rPr>
          <w:color w:val="000000"/>
          <w:sz w:val="22"/>
          <w:szCs w:val="22"/>
        </w:rPr>
      </w:pPr>
    </w:p>
    <w:p w14:paraId="2DE559AD" w14:textId="77777777" w:rsidR="003B4DFE" w:rsidRDefault="009E6D93">
      <w:pPr>
        <w:ind w:left="709"/>
        <w:jc w:val="both"/>
        <w:rPr>
          <w:color w:val="000000"/>
          <w:sz w:val="22"/>
          <w:szCs w:val="22"/>
        </w:rPr>
      </w:pPr>
      <w:r>
        <w:rPr>
          <w:b/>
          <w:color w:val="000000"/>
          <w:sz w:val="22"/>
          <w:szCs w:val="22"/>
        </w:rPr>
        <w:t>Artículo 48.</w:t>
      </w:r>
      <w:r>
        <w:rPr>
          <w:color w:val="000000"/>
          <w:sz w:val="22"/>
          <w:szCs w:val="22"/>
        </w:rPr>
        <w:t xml:space="preserve"> La Seguridad Social es un servicio público de carácter obligatorio que se prestará bajo la dirección, coordinación y control del Estado, en sujeción a los principios de eficiencia, universalidad y solidaridad, en los términos que establezca la Ley. </w:t>
      </w:r>
    </w:p>
    <w:p w14:paraId="7194DBDC" w14:textId="77777777" w:rsidR="003B4DFE" w:rsidRDefault="003B4DFE">
      <w:pPr>
        <w:jc w:val="both"/>
        <w:rPr>
          <w:color w:val="000000"/>
          <w:sz w:val="22"/>
          <w:szCs w:val="22"/>
        </w:rPr>
      </w:pPr>
    </w:p>
    <w:p w14:paraId="67C617CC" w14:textId="77777777" w:rsidR="003B4DFE" w:rsidRDefault="009E6D93">
      <w:pPr>
        <w:ind w:firstLine="709"/>
        <w:jc w:val="both"/>
        <w:rPr>
          <w:color w:val="000000"/>
          <w:sz w:val="22"/>
          <w:szCs w:val="22"/>
        </w:rPr>
      </w:pPr>
      <w:r>
        <w:rPr>
          <w:color w:val="000000"/>
          <w:sz w:val="22"/>
          <w:szCs w:val="22"/>
        </w:rPr>
        <w:t xml:space="preserve">Se garantiza a todos los habitantes el derecho irrenunciable a la Seguridad Social. </w:t>
      </w:r>
    </w:p>
    <w:p w14:paraId="769D0D3C" w14:textId="77777777" w:rsidR="003B4DFE" w:rsidRDefault="003B4DFE">
      <w:pPr>
        <w:jc w:val="both"/>
        <w:rPr>
          <w:color w:val="000000"/>
          <w:sz w:val="22"/>
          <w:szCs w:val="22"/>
        </w:rPr>
      </w:pPr>
    </w:p>
    <w:p w14:paraId="6DCF583E" w14:textId="77777777" w:rsidR="003B4DFE" w:rsidRDefault="009E6D93">
      <w:pPr>
        <w:ind w:left="709"/>
        <w:jc w:val="both"/>
        <w:rPr>
          <w:color w:val="000000"/>
          <w:sz w:val="22"/>
          <w:szCs w:val="22"/>
        </w:rPr>
      </w:pPr>
      <w:r>
        <w:rPr>
          <w:color w:val="000000"/>
          <w:sz w:val="22"/>
          <w:szCs w:val="22"/>
        </w:rPr>
        <w:t xml:space="preserve">El Estado, con la participación de los particulares, ampliara progresivamente la cobertura de la Seguridad Social que comprenderá la prestación de los servicios en la forma que determine la Ley. </w:t>
      </w:r>
    </w:p>
    <w:p w14:paraId="54CD245A" w14:textId="77777777" w:rsidR="003B4DFE" w:rsidRDefault="003B4DFE">
      <w:pPr>
        <w:jc w:val="both"/>
        <w:rPr>
          <w:color w:val="000000"/>
          <w:sz w:val="22"/>
          <w:szCs w:val="22"/>
        </w:rPr>
      </w:pPr>
    </w:p>
    <w:p w14:paraId="32E3F824" w14:textId="77777777" w:rsidR="003B4DFE" w:rsidRDefault="009E6D93">
      <w:pPr>
        <w:ind w:left="709"/>
        <w:jc w:val="both"/>
        <w:rPr>
          <w:color w:val="000000"/>
          <w:sz w:val="22"/>
          <w:szCs w:val="22"/>
        </w:rPr>
      </w:pPr>
      <w:r>
        <w:rPr>
          <w:color w:val="000000"/>
          <w:sz w:val="22"/>
          <w:szCs w:val="22"/>
        </w:rPr>
        <w:t xml:space="preserve">La Seguridad Social podrá ser prestada por entidades públicas o privadas, de conformidad con la ley. </w:t>
      </w:r>
    </w:p>
    <w:p w14:paraId="1231BE67" w14:textId="77777777" w:rsidR="003B4DFE" w:rsidRDefault="003B4DFE">
      <w:pPr>
        <w:jc w:val="both"/>
        <w:rPr>
          <w:color w:val="000000"/>
          <w:sz w:val="22"/>
          <w:szCs w:val="22"/>
        </w:rPr>
      </w:pPr>
    </w:p>
    <w:p w14:paraId="05D2B351" w14:textId="77777777" w:rsidR="003B4DFE" w:rsidRDefault="009E6D93">
      <w:pPr>
        <w:ind w:left="709"/>
        <w:jc w:val="both"/>
        <w:rPr>
          <w:color w:val="000000"/>
          <w:sz w:val="22"/>
          <w:szCs w:val="22"/>
        </w:rPr>
      </w:pPr>
      <w:r>
        <w:rPr>
          <w:color w:val="000000"/>
          <w:sz w:val="22"/>
          <w:szCs w:val="22"/>
        </w:rPr>
        <w:t xml:space="preserve">No se podrán destinar ni utilizar los recursos de las instituciones de la Seguridad Social para fines diferentes a ella. </w:t>
      </w:r>
    </w:p>
    <w:p w14:paraId="36FEB5B0" w14:textId="77777777" w:rsidR="003B4DFE" w:rsidRDefault="003B4DFE">
      <w:pPr>
        <w:jc w:val="both"/>
        <w:rPr>
          <w:color w:val="000000"/>
          <w:sz w:val="22"/>
          <w:szCs w:val="22"/>
        </w:rPr>
      </w:pPr>
    </w:p>
    <w:p w14:paraId="427E1E77" w14:textId="77777777" w:rsidR="003B4DFE" w:rsidRDefault="009E6D93">
      <w:pPr>
        <w:ind w:left="709"/>
        <w:jc w:val="both"/>
        <w:rPr>
          <w:color w:val="000000"/>
          <w:sz w:val="22"/>
          <w:szCs w:val="22"/>
        </w:rPr>
      </w:pPr>
      <w:r>
        <w:rPr>
          <w:color w:val="000000"/>
          <w:sz w:val="22"/>
          <w:szCs w:val="22"/>
        </w:rPr>
        <w:t xml:space="preserve">La ley definirá los medios para que los recursos destinados a pensiones mantengan su poder adquisitivo constante. </w:t>
      </w:r>
    </w:p>
    <w:p w14:paraId="30D7AA69" w14:textId="77777777" w:rsidR="003B4DFE" w:rsidRDefault="003B4DFE">
      <w:pPr>
        <w:jc w:val="both"/>
        <w:rPr>
          <w:color w:val="000000"/>
          <w:sz w:val="22"/>
          <w:szCs w:val="22"/>
        </w:rPr>
      </w:pPr>
    </w:p>
    <w:p w14:paraId="646B1192" w14:textId="77777777" w:rsidR="003B4DFE" w:rsidRDefault="009E6D93">
      <w:pPr>
        <w:ind w:left="709"/>
        <w:jc w:val="both"/>
        <w:rPr>
          <w:color w:val="000000"/>
          <w:sz w:val="22"/>
          <w:szCs w:val="22"/>
        </w:rPr>
      </w:pPr>
      <w:r>
        <w:rPr>
          <w:b/>
          <w:color w:val="000000"/>
          <w:sz w:val="22"/>
          <w:szCs w:val="22"/>
        </w:rPr>
        <w:t>Artículo 49.</w:t>
      </w:r>
      <w:r>
        <w:rPr>
          <w:color w:val="000000"/>
          <w:sz w:val="22"/>
          <w:szCs w:val="22"/>
        </w:rPr>
        <w:t xml:space="preserve"> La atención de la salud y el saneamiento ambiental son servicios públicos a cargo del Estado. Se garantiza a todas las personas el acceso a los servicios de promoción, protección y recuperación de la salud. </w:t>
      </w:r>
    </w:p>
    <w:p w14:paraId="7196D064" w14:textId="77777777" w:rsidR="003B4DFE" w:rsidRDefault="003B4DFE">
      <w:pPr>
        <w:jc w:val="both"/>
        <w:rPr>
          <w:color w:val="000000"/>
          <w:sz w:val="22"/>
          <w:szCs w:val="22"/>
        </w:rPr>
      </w:pPr>
    </w:p>
    <w:p w14:paraId="0A84D870" w14:textId="77777777" w:rsidR="003B4DFE" w:rsidRDefault="009E6D93">
      <w:pPr>
        <w:ind w:left="709"/>
        <w:jc w:val="both"/>
        <w:rPr>
          <w:color w:val="000000"/>
          <w:sz w:val="22"/>
          <w:szCs w:val="22"/>
        </w:rPr>
      </w:pPr>
      <w:r>
        <w:rPr>
          <w:color w:val="000000"/>
          <w:sz w:val="22"/>
          <w:szCs w:val="22"/>
        </w:rPr>
        <w:t>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w:t>
      </w:r>
    </w:p>
    <w:p w14:paraId="34FF1C98" w14:textId="77777777" w:rsidR="003B4DFE" w:rsidRDefault="003B4DFE">
      <w:pPr>
        <w:jc w:val="both"/>
        <w:rPr>
          <w:color w:val="000000"/>
          <w:sz w:val="22"/>
          <w:szCs w:val="22"/>
        </w:rPr>
      </w:pPr>
    </w:p>
    <w:p w14:paraId="3F3C147B" w14:textId="77777777" w:rsidR="003B4DFE" w:rsidRDefault="009E6D93">
      <w:pPr>
        <w:ind w:left="709"/>
        <w:jc w:val="both"/>
        <w:rPr>
          <w:color w:val="000000"/>
          <w:sz w:val="22"/>
          <w:szCs w:val="22"/>
        </w:rPr>
      </w:pPr>
      <w:r>
        <w:rPr>
          <w:color w:val="000000"/>
          <w:sz w:val="22"/>
          <w:szCs w:val="22"/>
        </w:rPr>
        <w:t>Los servicios de salud se organizarán en forma descentralizada, por niveles de atención y con participación de la comunidad.</w:t>
      </w:r>
    </w:p>
    <w:p w14:paraId="6D072C0D" w14:textId="77777777" w:rsidR="003B4DFE" w:rsidRDefault="003B4DFE">
      <w:pPr>
        <w:jc w:val="both"/>
        <w:rPr>
          <w:color w:val="000000"/>
          <w:sz w:val="22"/>
          <w:szCs w:val="22"/>
        </w:rPr>
      </w:pPr>
    </w:p>
    <w:p w14:paraId="206E2C62" w14:textId="77777777" w:rsidR="003B4DFE" w:rsidRDefault="009E6D93">
      <w:pPr>
        <w:ind w:left="709"/>
        <w:jc w:val="both"/>
        <w:rPr>
          <w:color w:val="000000"/>
          <w:sz w:val="22"/>
          <w:szCs w:val="22"/>
        </w:rPr>
      </w:pPr>
      <w:r>
        <w:rPr>
          <w:color w:val="000000"/>
          <w:sz w:val="22"/>
          <w:szCs w:val="22"/>
        </w:rPr>
        <w:t>La ley señalará los términos en los cuales la atención básica para todos los habitantes será gratuita y obligatoria.</w:t>
      </w:r>
    </w:p>
    <w:p w14:paraId="48A21919" w14:textId="77777777" w:rsidR="003B4DFE" w:rsidRDefault="003B4DFE">
      <w:pPr>
        <w:jc w:val="both"/>
        <w:rPr>
          <w:color w:val="000000"/>
          <w:sz w:val="22"/>
          <w:szCs w:val="22"/>
        </w:rPr>
      </w:pPr>
    </w:p>
    <w:p w14:paraId="0C3C779D" w14:textId="77777777" w:rsidR="003B4DFE" w:rsidRDefault="009E6D93">
      <w:pPr>
        <w:ind w:left="360"/>
        <w:jc w:val="both"/>
        <w:rPr>
          <w:color w:val="000000"/>
          <w:sz w:val="22"/>
          <w:szCs w:val="22"/>
        </w:rPr>
      </w:pPr>
      <w:r>
        <w:rPr>
          <w:color w:val="000000"/>
          <w:sz w:val="22"/>
          <w:szCs w:val="22"/>
        </w:rPr>
        <w:t>Toda persona tiene el deber de procurar el cuidado integral de su salud y la de su comunidad.</w:t>
      </w:r>
    </w:p>
    <w:p w14:paraId="6BD18F9B" w14:textId="77777777" w:rsidR="003B4DFE" w:rsidRDefault="003B4DFE">
      <w:pPr>
        <w:ind w:left="360"/>
        <w:jc w:val="both"/>
        <w:rPr>
          <w:color w:val="000000"/>
          <w:sz w:val="22"/>
          <w:szCs w:val="22"/>
        </w:rPr>
      </w:pPr>
    </w:p>
    <w:p w14:paraId="6A93E699" w14:textId="77777777" w:rsidR="003B4DFE" w:rsidRDefault="009E6D93">
      <w:pPr>
        <w:numPr>
          <w:ilvl w:val="0"/>
          <w:numId w:val="5"/>
        </w:numPr>
        <w:pBdr>
          <w:top w:val="nil"/>
          <w:left w:val="nil"/>
          <w:bottom w:val="nil"/>
          <w:right w:val="nil"/>
          <w:between w:val="nil"/>
        </w:pBdr>
        <w:jc w:val="both"/>
        <w:rPr>
          <w:b/>
          <w:color w:val="000000"/>
          <w:sz w:val="22"/>
          <w:szCs w:val="22"/>
        </w:rPr>
      </w:pPr>
      <w:r>
        <w:rPr>
          <w:b/>
          <w:color w:val="000000"/>
          <w:sz w:val="22"/>
          <w:szCs w:val="22"/>
        </w:rPr>
        <w:t>Ley 1616 de 2013 “Por medio de la cual se expide la ley de salud mental y se dictan otras disposiciones”</w:t>
      </w:r>
    </w:p>
    <w:p w14:paraId="238601FE" w14:textId="77777777" w:rsidR="003B4DFE" w:rsidRDefault="003B4DFE">
      <w:pPr>
        <w:jc w:val="both"/>
        <w:rPr>
          <w:b/>
          <w:color w:val="000000"/>
          <w:sz w:val="22"/>
          <w:szCs w:val="22"/>
        </w:rPr>
      </w:pPr>
    </w:p>
    <w:p w14:paraId="794664CF" w14:textId="77777777" w:rsidR="003B4DFE" w:rsidRDefault="009E6D93">
      <w:pPr>
        <w:ind w:left="709"/>
        <w:jc w:val="both"/>
        <w:rPr>
          <w:color w:val="000000"/>
          <w:sz w:val="22"/>
          <w:szCs w:val="22"/>
        </w:rPr>
      </w:pPr>
      <w:r>
        <w:rPr>
          <w:b/>
          <w:color w:val="000000"/>
          <w:sz w:val="22"/>
          <w:szCs w:val="22"/>
        </w:rPr>
        <w:t>Artículo 1°. Objeto</w:t>
      </w:r>
      <w:r>
        <w:rPr>
          <w:color w:val="000000"/>
          <w:sz w:val="22"/>
          <w:szCs w:val="22"/>
        </w:rPr>
        <w:t>. El objeto de la presente ley es garantizar el ejercicio pleno del Derecho a la Salud Mental a la población colombiana, priorizando a los niños, las niñas y adolescentes, mediante la promoción de la salud y la prevención del trastorno mental, la Atención Integral e Integrada en Salud Mental en el ámbito del Sistema General de Seguridad Social en Salud, de conformidad con lo preceptuado en el artículo 49 de la Constitución y con fundamento en el enfoque promocional de Calidad de vida y la estrategia y principios de la Atención Primaria en Salud. De igual forma se establecen los criterios de política para la reformulación, implementación y evaluación de la Política Pública Nacional de Salud Mental, con base en los enfoques de derechos, territorial y poblacional por etapa del ciclo vital.</w:t>
      </w:r>
    </w:p>
    <w:p w14:paraId="0F3CABC7" w14:textId="77777777" w:rsidR="003B4DFE" w:rsidRDefault="003B4DFE">
      <w:pPr>
        <w:jc w:val="both"/>
        <w:rPr>
          <w:color w:val="000000"/>
          <w:sz w:val="22"/>
          <w:szCs w:val="22"/>
        </w:rPr>
      </w:pPr>
    </w:p>
    <w:p w14:paraId="07487F70" w14:textId="77777777" w:rsidR="003B4DFE" w:rsidRDefault="009E6D93">
      <w:pPr>
        <w:ind w:left="709"/>
        <w:jc w:val="both"/>
        <w:rPr>
          <w:color w:val="000000"/>
          <w:sz w:val="22"/>
          <w:szCs w:val="22"/>
        </w:rPr>
      </w:pPr>
      <w:r>
        <w:rPr>
          <w:b/>
          <w:color w:val="000000"/>
          <w:sz w:val="22"/>
          <w:szCs w:val="22"/>
        </w:rPr>
        <w:t xml:space="preserve">Artículo 3°. Salud mental. </w:t>
      </w:r>
      <w:r>
        <w:rPr>
          <w:color w:val="000000"/>
          <w:sz w:val="22"/>
          <w:szCs w:val="22"/>
        </w:rPr>
        <w:t xml:space="preserve">La salud mental se define como un estado dinámico que se expresa en la vida cotidiana a través del comportamiento y la interacción de manera tal que permite a los sujetos individuales y colectivos desplegar sus recursos emocionales, cognitivos y mentales para transitar por la vida cotidiana, para trabajar, para establecer relaciones significativas y para contribuir a la comunidad. La Salud Mental es de interés y prioridad nacional para la República de Colombia, es un derecho fundamental, es tema prioritario de salud pública, es un bien de interés público y es componente esencial del bienestar general y el mejoramiento de la calidad de vida de colombianos y colombianas. </w:t>
      </w:r>
    </w:p>
    <w:p w14:paraId="5B08B5D1" w14:textId="77777777" w:rsidR="003B4DFE" w:rsidRDefault="003B4DFE">
      <w:pPr>
        <w:jc w:val="both"/>
        <w:rPr>
          <w:color w:val="000000"/>
          <w:sz w:val="22"/>
          <w:szCs w:val="22"/>
        </w:rPr>
      </w:pPr>
    </w:p>
    <w:p w14:paraId="07AC0DC7" w14:textId="77777777" w:rsidR="003B4DFE" w:rsidRDefault="009E6D93">
      <w:pPr>
        <w:ind w:left="709"/>
        <w:jc w:val="both"/>
        <w:rPr>
          <w:color w:val="000000"/>
          <w:sz w:val="22"/>
          <w:szCs w:val="22"/>
        </w:rPr>
      </w:pPr>
      <w:r>
        <w:rPr>
          <w:b/>
          <w:color w:val="000000"/>
          <w:sz w:val="22"/>
          <w:szCs w:val="22"/>
        </w:rPr>
        <w:t>Artículo 4°. Garantía en salud mental.</w:t>
      </w:r>
      <w:r>
        <w:rPr>
          <w:color w:val="000000"/>
          <w:sz w:val="22"/>
          <w:szCs w:val="22"/>
        </w:rPr>
        <w:t xml:space="preserve"> El Estado a través del Sistema General de Seguridad Social en Salud garantizará a la población colombiana, priorizando a los niños, las niñas y adolescentes, la promoción de la salud mental y prevención del trastorno mental, atención integral e integrada que incluya diagnóstico, tratamiento y rehabilitación en salud para todos los trastornos mentales. El Ministerio de Justicia y del Derecho, el Instituto Nacional Penitenciario y Carcelario y las entidades prestadoras del servicio de salud contratadas para atender a los reclusos, adoptarán programas de atención para los enfermos mentales privados de libertad y garantizar los derechos a los que se refiere el artículo sexto de esta ley; así mismo podrán concentrar dicha población para su debida atención. Los enfermos mentales no podrán ser aislados en las celdas de castigo mientras dure su tratamiento.</w:t>
      </w:r>
    </w:p>
    <w:p w14:paraId="16DEB4AB" w14:textId="77777777" w:rsidR="003B4DFE" w:rsidRDefault="003B4DFE">
      <w:pPr>
        <w:jc w:val="both"/>
        <w:rPr>
          <w:color w:val="000000"/>
          <w:sz w:val="22"/>
          <w:szCs w:val="22"/>
        </w:rPr>
      </w:pPr>
    </w:p>
    <w:p w14:paraId="52A51DDC" w14:textId="77777777" w:rsidR="003B4DFE" w:rsidRDefault="009E6D93">
      <w:pPr>
        <w:ind w:left="709"/>
        <w:jc w:val="both"/>
        <w:rPr>
          <w:color w:val="000000"/>
          <w:sz w:val="22"/>
          <w:szCs w:val="22"/>
        </w:rPr>
      </w:pPr>
      <w:r>
        <w:rPr>
          <w:b/>
          <w:color w:val="000000"/>
          <w:sz w:val="22"/>
          <w:szCs w:val="22"/>
        </w:rPr>
        <w:t>Artículo 10. Responsabilidad en la atención integral e integrada en salud mental.</w:t>
      </w:r>
      <w:r>
        <w:rPr>
          <w:color w:val="000000"/>
          <w:sz w:val="22"/>
          <w:szCs w:val="22"/>
        </w:rPr>
        <w:t xml:space="preserve"> El Ministerio de Salud y Protección Social, adoptará en el marco de la Atención Primaria en Salud el modelo de atención integral e integrada, los protocolos de atención y las guías de atención integral en salud mental con la participación ciudadana de los pacientes, sus familias y cuidadores y demás actores relevantes de conformidad con la política nacional de participación social vigente. Dichos protocolos y guías incluirán progresivamente todos los problemas y trastornos, así como los procesos y procedimientos para su implementación. Estos protocolos y guías deberán ajustarse periódicamente cada cinco años. Igualmente, asignará prioridad al diseño y ejecución de programas y acciones complementarios de atención y protección a las personas con trastornos mentales severos y a sus familias.</w:t>
      </w:r>
    </w:p>
    <w:p w14:paraId="0AD9C6F4" w14:textId="77777777" w:rsidR="003B4DFE" w:rsidRDefault="003B4DFE">
      <w:pPr>
        <w:jc w:val="both"/>
        <w:rPr>
          <w:color w:val="000000"/>
          <w:sz w:val="22"/>
          <w:szCs w:val="22"/>
        </w:rPr>
      </w:pPr>
    </w:p>
    <w:p w14:paraId="02C6BDAA" w14:textId="77777777" w:rsidR="003B4DFE" w:rsidRDefault="009E6D93">
      <w:pPr>
        <w:ind w:left="709"/>
        <w:jc w:val="both"/>
        <w:rPr>
          <w:b/>
          <w:color w:val="000000"/>
          <w:sz w:val="22"/>
          <w:szCs w:val="22"/>
        </w:rPr>
      </w:pPr>
      <w:r>
        <w:rPr>
          <w:b/>
          <w:color w:val="000000"/>
          <w:sz w:val="22"/>
          <w:szCs w:val="22"/>
        </w:rPr>
        <w:t>Artículo 12. Red integral de prestación de servicios en salud mental.</w:t>
      </w:r>
      <w:r>
        <w:rPr>
          <w:color w:val="000000"/>
          <w:sz w:val="22"/>
          <w:szCs w:val="22"/>
        </w:rPr>
        <w:t xml:space="preserve"> Los Entes Territoriales, las Empresas Administradoras de Planes de Beneficios deberán disponer de una red integral de prestación de servicios de salud mental pública y privada, como parte de la red de servicios generales de salud.</w:t>
      </w:r>
    </w:p>
    <w:p w14:paraId="4B1F511A" w14:textId="77777777" w:rsidR="003B4DFE" w:rsidRDefault="003B4DFE">
      <w:pPr>
        <w:jc w:val="both"/>
        <w:rPr>
          <w:b/>
          <w:color w:val="000000"/>
          <w:sz w:val="22"/>
          <w:szCs w:val="22"/>
        </w:rPr>
      </w:pPr>
    </w:p>
    <w:p w14:paraId="2A0B42F3" w14:textId="77777777" w:rsidR="003B4DFE" w:rsidRDefault="009E6D93">
      <w:pPr>
        <w:numPr>
          <w:ilvl w:val="0"/>
          <w:numId w:val="5"/>
        </w:numPr>
        <w:pBdr>
          <w:top w:val="nil"/>
          <w:left w:val="nil"/>
          <w:bottom w:val="nil"/>
          <w:right w:val="nil"/>
          <w:between w:val="nil"/>
        </w:pBdr>
        <w:jc w:val="both"/>
        <w:rPr>
          <w:b/>
          <w:color w:val="000000"/>
          <w:sz w:val="22"/>
          <w:szCs w:val="22"/>
        </w:rPr>
      </w:pPr>
      <w:r>
        <w:rPr>
          <w:b/>
          <w:color w:val="000000"/>
          <w:sz w:val="22"/>
          <w:szCs w:val="22"/>
        </w:rPr>
        <w:t>Ley Estatutaria 1751 de 2015 – “Por medio de la cual se regula el derecho fundamental a la salud y se dictan otras disposiciones”.</w:t>
      </w:r>
    </w:p>
    <w:p w14:paraId="664355AD" w14:textId="77777777" w:rsidR="003B4DFE" w:rsidRDefault="003B4DFE">
      <w:pPr>
        <w:jc w:val="both"/>
        <w:rPr>
          <w:b/>
          <w:color w:val="000000"/>
          <w:sz w:val="22"/>
          <w:szCs w:val="22"/>
        </w:rPr>
      </w:pPr>
    </w:p>
    <w:p w14:paraId="7768E59D" w14:textId="77777777" w:rsidR="003B4DFE" w:rsidRDefault="009E6D93">
      <w:pPr>
        <w:ind w:left="709"/>
        <w:jc w:val="both"/>
        <w:rPr>
          <w:color w:val="000000"/>
          <w:sz w:val="22"/>
          <w:szCs w:val="22"/>
        </w:rPr>
      </w:pPr>
      <w:r>
        <w:rPr>
          <w:b/>
          <w:color w:val="000000"/>
          <w:sz w:val="22"/>
          <w:szCs w:val="22"/>
        </w:rPr>
        <w:t>Artículo 1º</w:t>
      </w:r>
      <w:r>
        <w:rPr>
          <w:color w:val="000000"/>
          <w:sz w:val="22"/>
          <w:szCs w:val="22"/>
        </w:rPr>
        <w:t> </w:t>
      </w:r>
      <w:r>
        <w:rPr>
          <w:b/>
          <w:color w:val="000000"/>
          <w:sz w:val="22"/>
          <w:szCs w:val="22"/>
        </w:rPr>
        <w:t>Objeto.</w:t>
      </w:r>
      <w:r>
        <w:rPr>
          <w:color w:val="000000"/>
          <w:sz w:val="22"/>
          <w:szCs w:val="22"/>
        </w:rPr>
        <w:t xml:space="preserve"> La presente ley tiene por objeto garantizar el derecho fundamental a la salud, regularlo y establecer sus mecanismos de protección.</w:t>
      </w:r>
    </w:p>
    <w:p w14:paraId="1A965116" w14:textId="77777777" w:rsidR="003B4DFE" w:rsidRDefault="003B4DFE">
      <w:pPr>
        <w:jc w:val="both"/>
        <w:rPr>
          <w:color w:val="000000"/>
          <w:sz w:val="22"/>
          <w:szCs w:val="22"/>
        </w:rPr>
      </w:pPr>
    </w:p>
    <w:p w14:paraId="4E461D59" w14:textId="77777777" w:rsidR="003B4DFE" w:rsidRDefault="009E6D93">
      <w:pPr>
        <w:ind w:left="709"/>
        <w:jc w:val="both"/>
        <w:rPr>
          <w:color w:val="000000"/>
          <w:sz w:val="22"/>
          <w:szCs w:val="22"/>
        </w:rPr>
      </w:pPr>
      <w:r>
        <w:rPr>
          <w:b/>
          <w:color w:val="000000"/>
          <w:sz w:val="22"/>
          <w:szCs w:val="22"/>
        </w:rPr>
        <w:t>Artículo 3º</w:t>
      </w:r>
      <w:r>
        <w:rPr>
          <w:color w:val="000000"/>
          <w:sz w:val="22"/>
          <w:szCs w:val="22"/>
        </w:rPr>
        <w:t> </w:t>
      </w:r>
      <w:r>
        <w:rPr>
          <w:b/>
          <w:color w:val="000000"/>
          <w:sz w:val="22"/>
          <w:szCs w:val="22"/>
        </w:rPr>
        <w:t xml:space="preserve">Ámbito de Aplicación. </w:t>
      </w:r>
      <w:r>
        <w:rPr>
          <w:color w:val="000000"/>
          <w:sz w:val="22"/>
          <w:szCs w:val="22"/>
        </w:rPr>
        <w:t>La presente ley se aplica a todos los agentes, usuarios y demás que intervengan de manera directa o indirecta, en la garantía del derecho fundamental a la salud.</w:t>
      </w:r>
    </w:p>
    <w:p w14:paraId="7DF4E37C" w14:textId="77777777" w:rsidR="003B4DFE" w:rsidRDefault="003B4DFE">
      <w:pPr>
        <w:jc w:val="both"/>
        <w:rPr>
          <w:color w:val="000000"/>
          <w:sz w:val="22"/>
          <w:szCs w:val="22"/>
        </w:rPr>
      </w:pPr>
    </w:p>
    <w:p w14:paraId="3D120C22" w14:textId="77777777" w:rsidR="003B4DFE" w:rsidRDefault="009E6D93">
      <w:pPr>
        <w:ind w:left="709"/>
        <w:jc w:val="both"/>
        <w:rPr>
          <w:b/>
          <w:color w:val="000000"/>
          <w:sz w:val="22"/>
          <w:szCs w:val="22"/>
          <w:highlight w:val="white"/>
        </w:rPr>
      </w:pPr>
      <w:r>
        <w:rPr>
          <w:b/>
          <w:color w:val="000000"/>
          <w:sz w:val="22"/>
          <w:szCs w:val="22"/>
        </w:rPr>
        <w:t>Artículo 4º Definición de Sistema de Salud</w:t>
      </w:r>
      <w:r>
        <w:rPr>
          <w:b/>
          <w:i/>
          <w:color w:val="000000"/>
          <w:sz w:val="22"/>
          <w:szCs w:val="22"/>
        </w:rPr>
        <w:t xml:space="preserve">. </w:t>
      </w:r>
      <w:r>
        <w:rPr>
          <w:color w:val="000000"/>
          <w:sz w:val="22"/>
          <w:szCs w:val="22"/>
        </w:rPr>
        <w:t>Es el conjunto articulado y armónico de principios y normas; políticas públicas; instituciones; competencias y procedimientos; facultades, obligaciones, derechos y deberes; financiamiento; controles; información y evaluación, que el Estado disponga para la garantía y materialización del derecho fundamental de la salud.</w:t>
      </w:r>
    </w:p>
    <w:p w14:paraId="44FB30F8" w14:textId="77777777" w:rsidR="003B4DFE" w:rsidRDefault="003B4DFE">
      <w:pPr>
        <w:jc w:val="both"/>
        <w:rPr>
          <w:b/>
          <w:color w:val="000000"/>
          <w:sz w:val="22"/>
          <w:szCs w:val="22"/>
        </w:rPr>
      </w:pPr>
    </w:p>
    <w:p w14:paraId="5CF6F9C3" w14:textId="77777777" w:rsidR="003B4DFE" w:rsidRDefault="009E6D93">
      <w:pPr>
        <w:numPr>
          <w:ilvl w:val="0"/>
          <w:numId w:val="5"/>
        </w:numPr>
        <w:pBdr>
          <w:top w:val="nil"/>
          <w:left w:val="nil"/>
          <w:bottom w:val="nil"/>
          <w:right w:val="nil"/>
          <w:between w:val="nil"/>
        </w:pBdr>
        <w:jc w:val="both"/>
        <w:rPr>
          <w:b/>
          <w:color w:val="000000"/>
          <w:sz w:val="22"/>
          <w:szCs w:val="22"/>
        </w:rPr>
      </w:pPr>
      <w:r>
        <w:rPr>
          <w:b/>
          <w:color w:val="000000"/>
          <w:sz w:val="22"/>
          <w:szCs w:val="22"/>
        </w:rPr>
        <w:t>Ley 100 de 1993“Por la cual se crea el Sistema de Seguridad Social Integral y se dictan otras disposiciones”</w:t>
      </w:r>
    </w:p>
    <w:p w14:paraId="1DA6542E" w14:textId="77777777" w:rsidR="003B4DFE" w:rsidRDefault="003B4DFE">
      <w:pPr>
        <w:pBdr>
          <w:top w:val="nil"/>
          <w:left w:val="nil"/>
          <w:bottom w:val="nil"/>
          <w:right w:val="nil"/>
          <w:between w:val="nil"/>
        </w:pBdr>
        <w:ind w:left="720"/>
        <w:jc w:val="both"/>
        <w:rPr>
          <w:b/>
          <w:i/>
          <w:color w:val="000000"/>
          <w:sz w:val="22"/>
          <w:szCs w:val="22"/>
          <w:highlight w:val="white"/>
        </w:rPr>
      </w:pPr>
    </w:p>
    <w:p w14:paraId="64061BB3" w14:textId="77777777" w:rsidR="003B4DFE" w:rsidRDefault="009E6D93">
      <w:pPr>
        <w:pBdr>
          <w:top w:val="nil"/>
          <w:left w:val="nil"/>
          <w:bottom w:val="nil"/>
          <w:right w:val="nil"/>
          <w:between w:val="nil"/>
        </w:pBdr>
        <w:shd w:val="clear" w:color="auto" w:fill="FFFFFF"/>
        <w:spacing w:after="280"/>
        <w:ind w:firstLine="709"/>
        <w:jc w:val="both"/>
        <w:rPr>
          <w:color w:val="000000"/>
          <w:sz w:val="22"/>
          <w:szCs w:val="22"/>
        </w:rPr>
      </w:pPr>
      <w:r>
        <w:rPr>
          <w:b/>
          <w:color w:val="000000"/>
          <w:sz w:val="22"/>
          <w:szCs w:val="22"/>
        </w:rPr>
        <w:t xml:space="preserve">Preámbulo </w:t>
      </w:r>
    </w:p>
    <w:p w14:paraId="6FAF678A"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color w:val="000000"/>
          <w:sz w:val="22"/>
          <w:szCs w:val="22"/>
        </w:rPr>
        <w:t>La Seguridad Social Integral es el conjunto de instituciones, normas y procedimientos, de que disponen la persona y la comunidad para gozar de una calidad de vida, mediante el cumplimiento progresivo de los planes y programas que el Estado y la sociedad desarrollen para proporcionar la cobertura integral de las contingencias, especialmente las que menoscaban la salud y la capacidad económica, de los habitantes del territorio nacional, con el fin de lograr el bienestar individual y la integración de la comunidad</w:t>
      </w:r>
    </w:p>
    <w:p w14:paraId="0F55D264"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b/>
          <w:color w:val="000000"/>
          <w:sz w:val="22"/>
          <w:szCs w:val="22"/>
        </w:rPr>
        <w:t>Artículo 1º.</w:t>
      </w:r>
      <w:r>
        <w:rPr>
          <w:color w:val="000000"/>
          <w:sz w:val="22"/>
          <w:szCs w:val="22"/>
        </w:rPr>
        <w:t> </w:t>
      </w:r>
      <w:r>
        <w:rPr>
          <w:b/>
          <w:color w:val="000000"/>
          <w:sz w:val="22"/>
          <w:szCs w:val="22"/>
        </w:rPr>
        <w:t>Sistema de Seguridad Social Integral</w:t>
      </w:r>
      <w:r>
        <w:rPr>
          <w:color w:val="000000"/>
          <w:sz w:val="22"/>
          <w:szCs w:val="22"/>
        </w:rPr>
        <w:t>. El Sistema de Seguridad Social Integral tiene por objeto garantizar los derechos irrenunciables de la persona y la comunidad para obtener la calidad de vida acorde con la dignidad humana, mediante la protección de las contingencias que la afecten.</w:t>
      </w:r>
    </w:p>
    <w:p w14:paraId="15E2ACEC"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color w:val="000000"/>
          <w:sz w:val="22"/>
          <w:szCs w:val="22"/>
        </w:rPr>
        <w:t>El Sistema comprende las obligaciones del Estado y la sociedad, las instituciones y los recursos destinados a garantizar la cobertura de las prestaciones de carácter económico, de salud y servicios complementarios, materia de esta</w:t>
      </w:r>
      <w:bookmarkStart w:id="4" w:name="bookmark=id.3znysh7" w:colFirst="0" w:colLast="0"/>
      <w:bookmarkEnd w:id="4"/>
      <w:r>
        <w:rPr>
          <w:color w:val="000000"/>
          <w:sz w:val="22"/>
          <w:szCs w:val="22"/>
        </w:rPr>
        <w:t> Ley, u otras que se incorporen normativamente en el futuro</w:t>
      </w:r>
    </w:p>
    <w:p w14:paraId="1B5B686D"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b/>
          <w:color w:val="000000"/>
          <w:sz w:val="22"/>
          <w:szCs w:val="22"/>
        </w:rPr>
        <w:t>Artículo 6º.</w:t>
      </w:r>
      <w:r>
        <w:rPr>
          <w:color w:val="000000"/>
          <w:sz w:val="22"/>
          <w:szCs w:val="22"/>
        </w:rPr>
        <w:t> </w:t>
      </w:r>
      <w:r>
        <w:rPr>
          <w:b/>
          <w:color w:val="000000"/>
          <w:sz w:val="22"/>
          <w:szCs w:val="22"/>
        </w:rPr>
        <w:t>Objetivos</w:t>
      </w:r>
      <w:r>
        <w:rPr>
          <w:color w:val="000000"/>
          <w:sz w:val="22"/>
          <w:szCs w:val="22"/>
        </w:rPr>
        <w:t>. El Sistema de Seguridad Social Integral ordenará las instituciones y los recursos necesarios para alcanzar los siguientes objetivos:</w:t>
      </w:r>
    </w:p>
    <w:p w14:paraId="25AADA0B"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color w:val="000000"/>
          <w:sz w:val="22"/>
          <w:szCs w:val="22"/>
        </w:rPr>
        <w:t>1. Garantizar las prestaciones económicas y de salud a quienes tienen una relación laboral o capacidad económica suficiente para afiliarse al sistema.</w:t>
      </w:r>
    </w:p>
    <w:p w14:paraId="63C5E661"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color w:val="000000"/>
          <w:sz w:val="22"/>
          <w:szCs w:val="22"/>
        </w:rPr>
        <w:t>2. Garantizar la prestación de los servicios sociales complementarios en los términos de la presente</w:t>
      </w:r>
      <w:bookmarkStart w:id="5" w:name="bookmark=id.2et92p0" w:colFirst="0" w:colLast="0"/>
      <w:bookmarkEnd w:id="5"/>
      <w:r>
        <w:rPr>
          <w:color w:val="000000"/>
          <w:sz w:val="22"/>
          <w:szCs w:val="22"/>
        </w:rPr>
        <w:t> Ley.</w:t>
      </w:r>
    </w:p>
    <w:p w14:paraId="05DE73F2"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color w:val="000000"/>
          <w:sz w:val="22"/>
          <w:szCs w:val="22"/>
        </w:rPr>
        <w:t>3. Garantizar la ampliación de cobertura hasta lograr que toda la población acceda al sistema, mediante mecanismos que, en desarrollo del principio constitucional de solidaridad, permitan que sectores sin la capacidad económica suficiente como campesinos, indígenas y trabajadores independientes, artistas, deportistas, madres comunitarias, accedan al sistema y al otorgamiento de las prestaciones en forma integral.</w:t>
      </w:r>
    </w:p>
    <w:p w14:paraId="7636AB45"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color w:val="000000"/>
          <w:sz w:val="22"/>
          <w:szCs w:val="22"/>
        </w:rPr>
        <w:t>El Sistema de Seguridad Social Integral está instituido para unificar la normatividad y la planeación de la seguridad social, así como para coordinar a las entidades prestatarias de las mismas, para obtener las finalidades propuestas en la presente</w:t>
      </w:r>
      <w:bookmarkStart w:id="6" w:name="bookmark=id.tyjcwt" w:colFirst="0" w:colLast="0"/>
      <w:bookmarkEnd w:id="6"/>
      <w:r>
        <w:rPr>
          <w:color w:val="000000"/>
          <w:sz w:val="22"/>
          <w:szCs w:val="22"/>
        </w:rPr>
        <w:t> Ley.</w:t>
      </w:r>
    </w:p>
    <w:p w14:paraId="37749E81" w14:textId="77777777" w:rsidR="003B4DFE" w:rsidRDefault="009E6D93">
      <w:pPr>
        <w:pBdr>
          <w:top w:val="nil"/>
          <w:left w:val="nil"/>
          <w:bottom w:val="nil"/>
          <w:right w:val="nil"/>
          <w:between w:val="nil"/>
        </w:pBdr>
        <w:ind w:left="709"/>
        <w:jc w:val="both"/>
        <w:rPr>
          <w:color w:val="000000"/>
          <w:sz w:val="22"/>
          <w:szCs w:val="22"/>
          <w:highlight w:val="white"/>
        </w:rPr>
      </w:pPr>
      <w:r>
        <w:rPr>
          <w:b/>
          <w:color w:val="000000"/>
          <w:sz w:val="22"/>
          <w:szCs w:val="22"/>
          <w:highlight w:val="white"/>
        </w:rPr>
        <w:t>Artículo</w:t>
      </w:r>
      <w:r>
        <w:rPr>
          <w:b/>
          <w:color w:val="000000"/>
          <w:sz w:val="22"/>
          <w:szCs w:val="22"/>
        </w:rPr>
        <w:t> </w:t>
      </w:r>
      <w:r>
        <w:rPr>
          <w:b/>
          <w:color w:val="000000"/>
          <w:sz w:val="22"/>
          <w:szCs w:val="22"/>
          <w:highlight w:val="white"/>
        </w:rPr>
        <w:t>162. Plan de salud obligatorio</w:t>
      </w:r>
      <w:r>
        <w:rPr>
          <w:color w:val="000000"/>
          <w:sz w:val="22"/>
          <w:szCs w:val="22"/>
          <w:highlight w:val="white"/>
        </w:rPr>
        <w:t xml:space="preserve">. El Sistema General de Seguridad Social de Salud crea las condiciones de acceso a un Plan Obligatorio de Salud para todos los habitantes del territorio nacional antes del año 2001. Este Plan permitirá </w:t>
      </w:r>
      <w:r>
        <w:rPr>
          <w:b/>
          <w:color w:val="000000"/>
          <w:sz w:val="22"/>
          <w:szCs w:val="22"/>
          <w:highlight w:val="white"/>
          <w:u w:val="single"/>
        </w:rPr>
        <w:t>la protección integral de las familias a la maternidad</w:t>
      </w:r>
      <w:r>
        <w:rPr>
          <w:color w:val="000000"/>
          <w:sz w:val="22"/>
          <w:szCs w:val="22"/>
          <w:highlight w:val="white"/>
        </w:rPr>
        <w:t xml:space="preserve"> (</w:t>
      </w:r>
      <w:r>
        <w:rPr>
          <w:i/>
          <w:color w:val="000000"/>
          <w:sz w:val="22"/>
          <w:szCs w:val="22"/>
          <w:highlight w:val="white"/>
        </w:rPr>
        <w:t xml:space="preserve">negrilla y subrayado fuera de texto) </w:t>
      </w:r>
      <w:r>
        <w:rPr>
          <w:color w:val="000000"/>
          <w:sz w:val="22"/>
          <w:szCs w:val="22"/>
          <w:highlight w:val="white"/>
        </w:rPr>
        <w:t xml:space="preserve">y enfermedad general, en las fases de promoción y fomento de la salud y la prevención, diagnóstico, tratamiento y rehabilitación para todas las patologías, según la intensidad de uso y los niveles de atención y complejidad que se definan. </w:t>
      </w:r>
    </w:p>
    <w:p w14:paraId="27631554" w14:textId="77777777" w:rsidR="003B4DFE" w:rsidRDefault="009E6D93">
      <w:pPr>
        <w:pBdr>
          <w:top w:val="nil"/>
          <w:left w:val="nil"/>
          <w:bottom w:val="nil"/>
          <w:right w:val="nil"/>
          <w:between w:val="nil"/>
        </w:pBdr>
        <w:ind w:firstLine="709"/>
        <w:jc w:val="both"/>
        <w:rPr>
          <w:color w:val="000000"/>
          <w:sz w:val="22"/>
          <w:szCs w:val="22"/>
          <w:highlight w:val="white"/>
        </w:rPr>
      </w:pPr>
      <w:r>
        <w:rPr>
          <w:color w:val="000000"/>
          <w:sz w:val="22"/>
          <w:szCs w:val="22"/>
          <w:highlight w:val="white"/>
        </w:rPr>
        <w:t>(…)</w:t>
      </w:r>
    </w:p>
    <w:p w14:paraId="3041E394" w14:textId="77777777" w:rsidR="003B4DFE" w:rsidRDefault="003B4DFE">
      <w:pPr>
        <w:pBdr>
          <w:top w:val="nil"/>
          <w:left w:val="nil"/>
          <w:bottom w:val="nil"/>
          <w:right w:val="nil"/>
          <w:between w:val="nil"/>
        </w:pBdr>
        <w:shd w:val="clear" w:color="auto" w:fill="FFFFFF"/>
        <w:jc w:val="both"/>
        <w:rPr>
          <w:b/>
          <w:color w:val="000000"/>
          <w:sz w:val="22"/>
          <w:szCs w:val="22"/>
        </w:rPr>
      </w:pPr>
    </w:p>
    <w:p w14:paraId="381964AE" w14:textId="77777777" w:rsidR="003B4DFE" w:rsidRDefault="009E6D93">
      <w:pPr>
        <w:pBdr>
          <w:top w:val="nil"/>
          <w:left w:val="nil"/>
          <w:bottom w:val="nil"/>
          <w:right w:val="nil"/>
          <w:between w:val="nil"/>
        </w:pBdr>
        <w:shd w:val="clear" w:color="auto" w:fill="FFFFFF"/>
        <w:ind w:left="709"/>
        <w:jc w:val="both"/>
        <w:rPr>
          <w:color w:val="000000"/>
          <w:sz w:val="22"/>
          <w:szCs w:val="22"/>
        </w:rPr>
      </w:pPr>
      <w:r>
        <w:rPr>
          <w:b/>
          <w:color w:val="000000"/>
          <w:sz w:val="22"/>
          <w:szCs w:val="22"/>
        </w:rPr>
        <w:t>Artículo 166.</w:t>
      </w:r>
      <w:r>
        <w:rPr>
          <w:color w:val="000000"/>
          <w:sz w:val="22"/>
          <w:szCs w:val="22"/>
        </w:rPr>
        <w:t> </w:t>
      </w:r>
      <w:r>
        <w:rPr>
          <w:b/>
          <w:color w:val="000000"/>
          <w:sz w:val="22"/>
          <w:szCs w:val="22"/>
        </w:rPr>
        <w:t>Atención materno infantil.</w:t>
      </w:r>
      <w:r>
        <w:rPr>
          <w:color w:val="000000"/>
          <w:sz w:val="22"/>
          <w:szCs w:val="22"/>
        </w:rPr>
        <w:t xml:space="preserve"> El Plan Obligatorio de Salud para las mujeres en estado de embarazo cubrirá los servicios de salud en el control prenatal, la atención del parto, el control del posparto y la atención de las afecciones relacionadas directamente con la lactancia.</w:t>
      </w:r>
    </w:p>
    <w:p w14:paraId="722B00AE" w14:textId="77777777" w:rsidR="003B4DFE" w:rsidRDefault="003B4DFE">
      <w:pPr>
        <w:pBdr>
          <w:top w:val="nil"/>
          <w:left w:val="nil"/>
          <w:bottom w:val="nil"/>
          <w:right w:val="nil"/>
          <w:between w:val="nil"/>
        </w:pBdr>
        <w:shd w:val="clear" w:color="auto" w:fill="FFFFFF"/>
        <w:jc w:val="both"/>
        <w:rPr>
          <w:color w:val="000000"/>
          <w:sz w:val="22"/>
          <w:szCs w:val="22"/>
        </w:rPr>
      </w:pPr>
    </w:p>
    <w:p w14:paraId="113745BE"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color w:val="000000"/>
          <w:sz w:val="22"/>
          <w:szCs w:val="22"/>
        </w:rPr>
        <w:t>El Plan Obligatorio de Salud para los menores de un año cubrirá la educación, información y fomento de la salud, el fomento de la lactancia materna, la vigilancia del crecimiento y desarrollo, la prevención de la enfermedad, incluyendo inmunizaciones, la atención ambulatoria, hospitalaria y de urgencias, incluidos los medicamentos esenciales; y la rehabilitación cuando hubiere lugar, de conformidad con lo previsto en la presente</w:t>
      </w:r>
      <w:bookmarkStart w:id="7" w:name="bookmark=id.3dy6vkm" w:colFirst="0" w:colLast="0"/>
      <w:bookmarkEnd w:id="7"/>
      <w:r>
        <w:rPr>
          <w:color w:val="000000"/>
          <w:sz w:val="22"/>
          <w:szCs w:val="22"/>
        </w:rPr>
        <w:t> Ley y sus reglamentos.</w:t>
      </w:r>
    </w:p>
    <w:p w14:paraId="5E5C9D58"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color w:val="000000"/>
          <w:sz w:val="22"/>
          <w:szCs w:val="22"/>
        </w:rPr>
        <w:t>Además del Plan Obligatorio de Salud, las mujeres en estado de embarazo y las madres de los niños menores de un año, del régimen subsidiado, recibirán un subsidio alimentario en la forma como lo determinen los planes y programas del instituto Colombiano de Bienestar Familiar y con cargo a éste.</w:t>
      </w:r>
    </w:p>
    <w:p w14:paraId="3537F604" w14:textId="77777777" w:rsidR="003B4DFE" w:rsidRDefault="009E6D93">
      <w:pPr>
        <w:pBdr>
          <w:top w:val="nil"/>
          <w:left w:val="nil"/>
          <w:bottom w:val="nil"/>
          <w:right w:val="nil"/>
          <w:between w:val="nil"/>
        </w:pBdr>
        <w:shd w:val="clear" w:color="auto" w:fill="FFFFFF"/>
        <w:spacing w:after="280"/>
        <w:ind w:left="709"/>
        <w:jc w:val="both"/>
        <w:rPr>
          <w:color w:val="000000"/>
          <w:sz w:val="22"/>
          <w:szCs w:val="22"/>
        </w:rPr>
      </w:pPr>
      <w:r>
        <w:rPr>
          <w:b/>
          <w:color w:val="000000"/>
          <w:sz w:val="22"/>
          <w:szCs w:val="22"/>
        </w:rPr>
        <w:t>Parágrafo 1º.</w:t>
      </w:r>
      <w:r>
        <w:rPr>
          <w:color w:val="000000"/>
          <w:sz w:val="22"/>
          <w:szCs w:val="22"/>
        </w:rPr>
        <w:t> Para los efectos de la presente</w:t>
      </w:r>
      <w:bookmarkStart w:id="8" w:name="bookmark=id.1t3h5sf" w:colFirst="0" w:colLast="0"/>
      <w:bookmarkEnd w:id="8"/>
      <w:r>
        <w:rPr>
          <w:color w:val="000000"/>
          <w:sz w:val="22"/>
          <w:szCs w:val="22"/>
        </w:rPr>
        <w:t> Ley, entiéndase por subsidio alimentario la subvención en especie, consistente en alimentos o nutrientes que se entregan a la mujer gestante y a la madre del menor de un año y que permiten una dieta adecuada.</w:t>
      </w:r>
    </w:p>
    <w:p w14:paraId="7BD5B240" w14:textId="77777777" w:rsidR="003B4DFE" w:rsidRDefault="009E6D93">
      <w:pPr>
        <w:pBdr>
          <w:top w:val="nil"/>
          <w:left w:val="nil"/>
          <w:bottom w:val="nil"/>
          <w:right w:val="nil"/>
          <w:between w:val="nil"/>
        </w:pBdr>
        <w:shd w:val="clear" w:color="auto" w:fill="FFFFFF"/>
        <w:spacing w:after="280"/>
        <w:ind w:left="709"/>
        <w:jc w:val="both"/>
        <w:rPr>
          <w:b/>
          <w:color w:val="000000"/>
          <w:sz w:val="22"/>
          <w:szCs w:val="22"/>
        </w:rPr>
      </w:pPr>
      <w:r>
        <w:rPr>
          <w:b/>
          <w:color w:val="000000"/>
          <w:sz w:val="22"/>
          <w:szCs w:val="22"/>
        </w:rPr>
        <w:t>Parágrafo 2º.</w:t>
      </w:r>
      <w:r>
        <w:rPr>
          <w:color w:val="000000"/>
          <w:sz w:val="22"/>
          <w:szCs w:val="22"/>
        </w:rPr>
        <w:t> El Gobierno Nacional organizara un programa especial de información y educación de la mujer en aspectos de salud integral y educación sexual en las zonas menos desarrolladas del país. Se dará con prioridad al área rural y a las adolescentes. Para el efecto se destinarán el 2% de los recursos anuales del ICBF, el 10% de los recursos a que se refiere el parágrafo 1º. del artículo 10 de la</w:t>
      </w:r>
      <w:bookmarkStart w:id="9" w:name="bookmark=id.4d34og8" w:colFirst="0" w:colLast="0"/>
      <w:bookmarkEnd w:id="9"/>
      <w:r>
        <w:rPr>
          <w:color w:val="000000"/>
          <w:sz w:val="22"/>
          <w:szCs w:val="22"/>
        </w:rPr>
        <w:t> Ley 60 de 1993 y el porcentaje de la subcuenta de promoción del Fondo de Solidaridad y Garantía que defina el Gobierno Nacional previa consideración del Consejo Nacional de Seguridad Social en Salud. El Gobierno Nacional reglamentara los procedimientos de ejecución del programa. La parte del programa que se financie con los recursos del ICBF se ejecutará por este mismo instituto.</w:t>
      </w:r>
      <w:r>
        <w:rPr>
          <w:b/>
          <w:color w:val="000000"/>
          <w:sz w:val="22"/>
          <w:szCs w:val="22"/>
        </w:rPr>
        <w:t xml:space="preserve"> </w:t>
      </w:r>
    </w:p>
    <w:p w14:paraId="55CEFF90" w14:textId="77777777" w:rsidR="003B4DFE" w:rsidRDefault="009E6D93">
      <w:pPr>
        <w:numPr>
          <w:ilvl w:val="0"/>
          <w:numId w:val="5"/>
        </w:numPr>
        <w:pBdr>
          <w:top w:val="nil"/>
          <w:left w:val="nil"/>
          <w:bottom w:val="nil"/>
          <w:right w:val="nil"/>
          <w:between w:val="nil"/>
        </w:pBdr>
        <w:spacing w:after="150"/>
        <w:jc w:val="both"/>
        <w:rPr>
          <w:b/>
          <w:color w:val="000000"/>
          <w:sz w:val="22"/>
          <w:szCs w:val="22"/>
        </w:rPr>
      </w:pPr>
      <w:r>
        <w:rPr>
          <w:b/>
          <w:color w:val="000000"/>
          <w:sz w:val="22"/>
          <w:szCs w:val="22"/>
        </w:rPr>
        <w:t xml:space="preserve">Ministerio de Salud </w:t>
      </w:r>
      <w:r>
        <w:rPr>
          <w:b/>
          <w:sz w:val="22"/>
          <w:szCs w:val="22"/>
        </w:rPr>
        <w:t>y</w:t>
      </w:r>
      <w:r>
        <w:rPr>
          <w:b/>
          <w:color w:val="000000"/>
          <w:sz w:val="22"/>
          <w:szCs w:val="22"/>
        </w:rPr>
        <w:t xml:space="preserve"> Protección Social Resolución Número 3280 </w:t>
      </w:r>
      <w:r>
        <w:rPr>
          <w:b/>
          <w:sz w:val="22"/>
          <w:szCs w:val="22"/>
        </w:rPr>
        <w:t>d</w:t>
      </w:r>
      <w:r>
        <w:rPr>
          <w:b/>
          <w:color w:val="000000"/>
          <w:sz w:val="22"/>
          <w:szCs w:val="22"/>
        </w:rPr>
        <w:t>e 2018 – “Por medio de la cual se adoptan los lineamientos técnicos y operativos de la Ruta Integral de Atención para la Promoción y Mantenimiento de la Salud y la Ruta Integral de Atención en Salud para la Población Materno Perinatal y se establecen las directrices para su operación”</w:t>
      </w:r>
    </w:p>
    <w:p w14:paraId="381A223C" w14:textId="77777777" w:rsidR="003B4DFE" w:rsidRDefault="009E6D93">
      <w:pPr>
        <w:spacing w:after="150"/>
        <w:ind w:left="709"/>
        <w:jc w:val="both"/>
        <w:rPr>
          <w:color w:val="000000"/>
          <w:sz w:val="22"/>
          <w:szCs w:val="22"/>
        </w:rPr>
      </w:pPr>
      <w:r>
        <w:rPr>
          <w:b/>
          <w:color w:val="000000"/>
          <w:sz w:val="22"/>
          <w:szCs w:val="22"/>
        </w:rPr>
        <w:t>Artículo 1. Objeto.</w:t>
      </w:r>
      <w:r>
        <w:rPr>
          <w:color w:val="000000"/>
          <w:sz w:val="22"/>
          <w:szCs w:val="22"/>
        </w:rPr>
        <w:t xml:space="preserve"> La presente resolución tiene por objeto adoptar los lineamientos técnicos y operativos de la Ruta Integral de Atención para la Promoción y Mantenimiento de la Salud y de la Ruta Integral de Atención en Salud para la Población Materno Perinatal y las directrices para su operación, contenidos en los anexos técnicos que hacen parte integral de esta resolución y que serán de obligatorio cumplimiento. </w:t>
      </w:r>
    </w:p>
    <w:p w14:paraId="4ED50CFA" w14:textId="77777777" w:rsidR="003B4DFE" w:rsidRDefault="009E6D93">
      <w:pPr>
        <w:spacing w:after="150"/>
        <w:ind w:left="709"/>
        <w:jc w:val="both"/>
        <w:rPr>
          <w:color w:val="000000"/>
          <w:sz w:val="22"/>
          <w:szCs w:val="22"/>
        </w:rPr>
      </w:pPr>
      <w:r>
        <w:rPr>
          <w:b/>
          <w:color w:val="000000"/>
          <w:sz w:val="22"/>
          <w:szCs w:val="22"/>
        </w:rPr>
        <w:t>Artículo 2. Campo de aplicación.</w:t>
      </w:r>
      <w:r>
        <w:rPr>
          <w:color w:val="000000"/>
          <w:sz w:val="22"/>
          <w:szCs w:val="22"/>
        </w:rPr>
        <w:t xml:space="preserve"> Las disposiciones contenidas en esta resolución serán de obligatorio cumplimiento por parte de las Entidades Territoriales, las Entidades Promotoras de Salud, las Entidades Obligadas a Compensar, los prestadores de servicios de salud y demás entidades responsables de las intervenciones relacionadas con la promoción, mantenimiento de la salud, prevención de la enfermedad, diagnóstico, tratamiento, rehabilitación, paliación y en general, que desarrollan acciones en salud, de acuerdo con sus competencias, responsabilidades y funciones en el marco de la operación del MIAS, dentro de la PAIS.</w:t>
      </w:r>
    </w:p>
    <w:p w14:paraId="2F53AD5C" w14:textId="77777777" w:rsidR="003B4DFE" w:rsidRDefault="009E6D93">
      <w:pPr>
        <w:spacing w:after="150"/>
        <w:ind w:left="709"/>
        <w:jc w:val="both"/>
        <w:rPr>
          <w:color w:val="000000"/>
          <w:sz w:val="22"/>
          <w:szCs w:val="22"/>
        </w:rPr>
      </w:pPr>
      <w:r>
        <w:rPr>
          <w:color w:val="000000"/>
          <w:sz w:val="22"/>
          <w:szCs w:val="22"/>
        </w:rPr>
        <w:t>Estas disposiciones igualmente se aplicarán a los Regímenes de Excepción y a los Regímenes Especiales como responsables de las intervenciones en materia de promoción, mantenimiento de la salud, prevención de la enfermedad, diagnóstico, tratamiento, rehabilitación, paliación y en general, de las acciones en salud que desarrollan respecto de la población a su cargo.</w:t>
      </w:r>
    </w:p>
    <w:p w14:paraId="393E9A74" w14:textId="77777777" w:rsidR="003B4DFE" w:rsidRDefault="009E6D93">
      <w:pPr>
        <w:spacing w:after="150"/>
        <w:ind w:left="709"/>
        <w:jc w:val="both"/>
        <w:rPr>
          <w:color w:val="000000"/>
          <w:sz w:val="22"/>
          <w:szCs w:val="22"/>
        </w:rPr>
      </w:pPr>
      <w:r>
        <w:rPr>
          <w:b/>
          <w:color w:val="000000"/>
          <w:sz w:val="22"/>
          <w:szCs w:val="22"/>
        </w:rPr>
        <w:t>Artículo 5. Talento humano para la operación de la ruta integral de atención para la promoción y mantenimiento de la salud y la ruta integral de atención en salud para la población materno perinatal.</w:t>
      </w:r>
      <w:r>
        <w:rPr>
          <w:color w:val="000000"/>
          <w:sz w:val="22"/>
          <w:szCs w:val="22"/>
        </w:rPr>
        <w:t xml:space="preserve"> Los obligados al cumplimiento de esta resolución, en el marco de sus competencias, deberán garantizar la disponibilidad, suficiencia e idoneidad del talento humano requerido para la implementación de las intervenciones y acciones definidas en los lineamientos de la Ruta Integral de Atención para la Promoción y Mantenimiento de la Salud y de la Ruta Integral de Atención en Salud para la Población Materno Perinatal. Para el efecto, deberán cumplir con el perfil establecido en dichos lineamientos, sin perjuicio de que puedan incluir perfiles adicionales que, de acuerdo con las condiciones territoriales y socioculturales, consideren pertinentes. </w:t>
      </w:r>
    </w:p>
    <w:p w14:paraId="7DC046BB" w14:textId="77777777" w:rsidR="003B4DFE" w:rsidRDefault="009E6D93">
      <w:pPr>
        <w:spacing w:after="150"/>
        <w:ind w:left="709"/>
        <w:jc w:val="both"/>
        <w:rPr>
          <w:color w:val="000000"/>
          <w:sz w:val="22"/>
          <w:szCs w:val="22"/>
        </w:rPr>
      </w:pPr>
      <w:r>
        <w:rPr>
          <w:b/>
          <w:color w:val="000000"/>
          <w:sz w:val="22"/>
          <w:szCs w:val="22"/>
        </w:rPr>
        <w:t>Artículo 6. Monitoreo y evaluación de la ruta integral de atención para la promoción y mantenimiento de la salud y de la ruta integral de atención en salud para la población materno perinatal.</w:t>
      </w:r>
      <w:r>
        <w:rPr>
          <w:color w:val="000000"/>
          <w:sz w:val="22"/>
          <w:szCs w:val="22"/>
        </w:rPr>
        <w:t xml:space="preserve"> Los obligados al cumplimiento de esta resolución realizarán, en el marco de sus competencias, el monitoreo de las intervenciones de las rutas a que alude el presente acto administrativo y la evaluación de los resultados en salud y reducción de las inequidades en salud en las personas, familias y comunidades, derivadas de su implementación.</w:t>
      </w:r>
    </w:p>
    <w:p w14:paraId="4AC0A65B" w14:textId="77777777" w:rsidR="003B4DFE" w:rsidRDefault="009E6D93">
      <w:pPr>
        <w:spacing w:after="150"/>
        <w:ind w:left="709"/>
        <w:jc w:val="both"/>
        <w:rPr>
          <w:color w:val="000000"/>
          <w:sz w:val="22"/>
          <w:szCs w:val="22"/>
        </w:rPr>
      </w:pPr>
      <w:r>
        <w:rPr>
          <w:color w:val="000000"/>
          <w:sz w:val="22"/>
          <w:szCs w:val="22"/>
        </w:rPr>
        <w:t xml:space="preserve">Los resultados del monitoreo y evaluación constituirán insumo para la toma de decisiones requeridas para garantizar la calidad de la atención en salud, determinar el impacto de las intervenciones contenidas en las rutas y el cumplimiento de lo dispuesto en la presente resolución. </w:t>
      </w:r>
    </w:p>
    <w:p w14:paraId="02567BA5" w14:textId="77777777" w:rsidR="003B4DFE" w:rsidRDefault="009E6D93">
      <w:pPr>
        <w:spacing w:after="150"/>
        <w:ind w:left="709"/>
        <w:jc w:val="both"/>
        <w:rPr>
          <w:color w:val="000000"/>
          <w:sz w:val="22"/>
          <w:szCs w:val="22"/>
        </w:rPr>
      </w:pPr>
      <w:r>
        <w:rPr>
          <w:color w:val="000000"/>
          <w:sz w:val="22"/>
          <w:szCs w:val="22"/>
        </w:rPr>
        <w:t>El Ministerio de Salud y Protección Social, a través de la Dirección de Promoción y Prevención o la dependencia que haga sus veces y las Direcciones Territoriales de Salud de carácter departamental y distrital, informarán anualmente a la Superintendencia Nacional de Salud los resultados del monitoreo y evaluación, a fin de que esta adelante las acciones correspondientes al amparo de sus competencias.</w:t>
      </w:r>
    </w:p>
    <w:p w14:paraId="1EBA2319" w14:textId="77777777" w:rsidR="003B4DFE" w:rsidRDefault="009E6D93">
      <w:pPr>
        <w:ind w:left="709"/>
        <w:jc w:val="both"/>
        <w:rPr>
          <w:sz w:val="22"/>
          <w:szCs w:val="22"/>
        </w:rPr>
      </w:pPr>
      <w:r>
        <w:rPr>
          <w:b/>
          <w:sz w:val="22"/>
          <w:szCs w:val="22"/>
        </w:rPr>
        <w:t>Parágrafo.</w:t>
      </w:r>
      <w:r>
        <w:rPr>
          <w:sz w:val="22"/>
          <w:szCs w:val="22"/>
        </w:rPr>
        <w:t xml:space="preserve"> El monitoreo y evaluación se realizará mediante la información que se reporta en el marco de las Resoluciones 3374 de 2000, 4505 de 2012, 2175 de 2015 y las demás fuentes de información existentes y requeridas para dicho monitoreo, o las normas que las modifiquen o sustituyan.</w:t>
      </w:r>
    </w:p>
    <w:p w14:paraId="42C6D796" w14:textId="77777777" w:rsidR="003B4DFE" w:rsidRDefault="003B4DFE">
      <w:pPr>
        <w:jc w:val="both"/>
        <w:rPr>
          <w:sz w:val="22"/>
          <w:szCs w:val="22"/>
        </w:rPr>
      </w:pPr>
    </w:p>
    <w:p w14:paraId="6C23D50D" w14:textId="77777777" w:rsidR="003B4DFE" w:rsidRDefault="009E6D93">
      <w:pPr>
        <w:numPr>
          <w:ilvl w:val="0"/>
          <w:numId w:val="5"/>
        </w:numPr>
        <w:pBdr>
          <w:top w:val="nil"/>
          <w:left w:val="nil"/>
          <w:bottom w:val="nil"/>
          <w:right w:val="nil"/>
          <w:between w:val="nil"/>
        </w:pBdr>
        <w:spacing w:after="150"/>
        <w:jc w:val="both"/>
        <w:rPr>
          <w:b/>
          <w:color w:val="000000"/>
          <w:sz w:val="22"/>
          <w:szCs w:val="22"/>
        </w:rPr>
      </w:pPr>
      <w:r>
        <w:rPr>
          <w:b/>
          <w:color w:val="000000"/>
          <w:sz w:val="22"/>
          <w:szCs w:val="22"/>
        </w:rPr>
        <w:t>Resolución número 3202 de 2016 - “Por la cual se adopta el Manual Metodológico para la elaboración e implementación de las Rutas Integrales de Atención en Salud — RIAS, se adopta un grupo de Rutas Integrales de Atención en Salud desarrolladas por el Ministerio de Salud y Protección Social dentro de la Política de Atención Integral en Salud —PAIS y se dictan otras disposiciones”.</w:t>
      </w:r>
    </w:p>
    <w:p w14:paraId="6452C1A9" w14:textId="77777777" w:rsidR="003B4DFE" w:rsidRDefault="009E6D93">
      <w:pPr>
        <w:spacing w:after="150"/>
        <w:ind w:left="709"/>
        <w:jc w:val="both"/>
        <w:rPr>
          <w:color w:val="000000"/>
          <w:sz w:val="22"/>
          <w:szCs w:val="22"/>
        </w:rPr>
      </w:pPr>
      <w:r>
        <w:rPr>
          <w:b/>
          <w:color w:val="000000"/>
          <w:sz w:val="22"/>
          <w:szCs w:val="22"/>
        </w:rPr>
        <w:t>Artículo 1. Objeto.</w:t>
      </w:r>
      <w:r>
        <w:rPr>
          <w:color w:val="000000"/>
          <w:sz w:val="22"/>
          <w:szCs w:val="22"/>
        </w:rPr>
        <w:t xml:space="preserve"> La presente resolución adopta el "Manual metodológico para la elaboración e implementación de las Rutas Integrales de Atención en Salud-RIAS" así como unas Rutas Integrales de Atención en Salud - RIAS, desarrolladas por el Ministerio de Salud y Protección Social. Igualmente, se establecen disposiciones en relación con la implementación de las RIAS y las responsabilidades de los diferentes integrantes del Sistema General de Seguridad Social en Salud —SGSSS.</w:t>
      </w:r>
    </w:p>
    <w:p w14:paraId="1C465661" w14:textId="77777777" w:rsidR="003B4DFE" w:rsidRDefault="009E6D93">
      <w:pPr>
        <w:spacing w:after="150"/>
        <w:ind w:left="709"/>
        <w:jc w:val="both"/>
        <w:rPr>
          <w:color w:val="000000"/>
          <w:sz w:val="22"/>
          <w:szCs w:val="22"/>
        </w:rPr>
      </w:pPr>
      <w:r>
        <w:rPr>
          <w:b/>
          <w:color w:val="000000"/>
          <w:sz w:val="22"/>
          <w:szCs w:val="22"/>
        </w:rPr>
        <w:t>Artículo 4. Objetivo de las rutas integrales de atención en salud — RIAS.</w:t>
      </w:r>
      <w:r>
        <w:rPr>
          <w:color w:val="000000"/>
          <w:sz w:val="22"/>
          <w:szCs w:val="22"/>
        </w:rPr>
        <w:t xml:space="preserve"> El objetivo de las RIAS es regular las condiciones necesarias para asegurar la integralidad en la atención en Salud para las personas, familias y comunidades por parte de los diferentes integrantes del SGSSS y demás entidades que tengan a su cargo acciones en salud a efectos de contribuir al mejoramiento de los resultados en salud y reducir la carga de la enfermedad.</w:t>
      </w:r>
    </w:p>
    <w:p w14:paraId="26CBCCB9" w14:textId="77777777" w:rsidR="003B4DFE" w:rsidRDefault="009E6D93">
      <w:pPr>
        <w:spacing w:after="150"/>
        <w:ind w:left="709"/>
        <w:jc w:val="both"/>
        <w:rPr>
          <w:color w:val="000000"/>
          <w:sz w:val="22"/>
          <w:szCs w:val="22"/>
        </w:rPr>
      </w:pPr>
      <w:r>
        <w:rPr>
          <w:b/>
          <w:color w:val="000000"/>
          <w:sz w:val="22"/>
          <w:szCs w:val="22"/>
        </w:rPr>
        <w:t>Artículo 6. Rutas integrales de atención en salud— RIAS.</w:t>
      </w:r>
      <w:r>
        <w:rPr>
          <w:color w:val="000000"/>
          <w:sz w:val="22"/>
          <w:szCs w:val="22"/>
        </w:rPr>
        <w:t xml:space="preserve"> En el marco del Modelo Integral de Atención en Salud - MIAS se definen tres tipos de Rutas Integrales de Atención en Salud — RIAS, así:</w:t>
      </w:r>
    </w:p>
    <w:p w14:paraId="7B08D3E8" w14:textId="77777777" w:rsidR="003B4DFE" w:rsidRDefault="009E6D93">
      <w:pPr>
        <w:spacing w:after="150"/>
        <w:ind w:left="709"/>
        <w:jc w:val="both"/>
        <w:rPr>
          <w:color w:val="000000"/>
          <w:sz w:val="22"/>
          <w:szCs w:val="22"/>
        </w:rPr>
      </w:pPr>
      <w:r>
        <w:rPr>
          <w:b/>
          <w:color w:val="000000"/>
          <w:sz w:val="22"/>
          <w:szCs w:val="22"/>
        </w:rPr>
        <w:t>6.1 Ruta integral de atención para la promoción y mantenimiento de la salud</w:t>
      </w:r>
      <w:r>
        <w:rPr>
          <w:color w:val="000000"/>
          <w:sz w:val="22"/>
          <w:szCs w:val="22"/>
        </w:rPr>
        <w:t xml:space="preserve">. Comprende acciones sectoriales e intersectoriales; intervenciones de carácter individual y colectivo, dirigidas a promover la salud, prevenir el riesgo, prevenir la enfermedad y generar cultura del cuidado de la salud en las personas, familias y comunidades, mediante la valoración integral del estado de salud, la detección temprana de alteraciones; la protección específica y la educación para la salud. Esta ruta se aplica para toda la población residente en el territorio. </w:t>
      </w:r>
    </w:p>
    <w:p w14:paraId="2571D19D" w14:textId="77777777" w:rsidR="003B4DFE" w:rsidRDefault="009E6D93">
      <w:pPr>
        <w:spacing w:after="150"/>
        <w:ind w:left="709"/>
        <w:jc w:val="both"/>
        <w:rPr>
          <w:color w:val="000000"/>
          <w:sz w:val="22"/>
          <w:szCs w:val="22"/>
        </w:rPr>
      </w:pPr>
      <w:r>
        <w:rPr>
          <w:b/>
          <w:color w:val="000000"/>
          <w:sz w:val="22"/>
          <w:szCs w:val="22"/>
        </w:rPr>
        <w:t xml:space="preserve">6.2. Ruta Integral de Atención en Salud de Grupos de Riesgo. </w:t>
      </w:r>
      <w:r>
        <w:rPr>
          <w:color w:val="000000"/>
          <w:sz w:val="22"/>
          <w:szCs w:val="22"/>
        </w:rPr>
        <w:t>Incorpora acciones sectoriales e intersectoriales; intervenciones individuales y colectivas, con el propósito de identificar e intervenir oportunamente factores de riesgo, ya sea para evitar la aparición de una o varias condiciones específicas en salud o para realizar el diagnóstico, tratamiento, rehabilitación y paliación, según cada situación. Esta ruta se aplica para la población en riesgo residente en el territorio.</w:t>
      </w:r>
    </w:p>
    <w:p w14:paraId="0619B3C6" w14:textId="77777777" w:rsidR="003B4DFE" w:rsidRDefault="009E6D93">
      <w:pPr>
        <w:spacing w:after="150"/>
        <w:ind w:left="709"/>
        <w:jc w:val="both"/>
        <w:rPr>
          <w:color w:val="000000"/>
          <w:sz w:val="22"/>
          <w:szCs w:val="22"/>
        </w:rPr>
      </w:pPr>
      <w:r>
        <w:rPr>
          <w:color w:val="000000"/>
          <w:sz w:val="22"/>
          <w:szCs w:val="22"/>
        </w:rPr>
        <w:t xml:space="preserve">Hacen parte de este tipo de RIAS, las siguientes: </w:t>
      </w:r>
    </w:p>
    <w:p w14:paraId="76478EC9" w14:textId="77777777" w:rsidR="003B4DFE" w:rsidRDefault="009E6D93">
      <w:pPr>
        <w:spacing w:after="150"/>
        <w:ind w:left="709"/>
        <w:jc w:val="both"/>
        <w:rPr>
          <w:color w:val="000000"/>
          <w:sz w:val="22"/>
          <w:szCs w:val="22"/>
        </w:rPr>
      </w:pPr>
      <w:r>
        <w:rPr>
          <w:color w:val="000000"/>
          <w:sz w:val="22"/>
          <w:szCs w:val="22"/>
        </w:rPr>
        <w:t xml:space="preserve">1. RIAS para población con riesgo o presencia de alteraciones cardio — cerebro — vascular — metabólicas manifiestas. </w:t>
      </w:r>
    </w:p>
    <w:p w14:paraId="059B5A95" w14:textId="77777777" w:rsidR="003B4DFE" w:rsidRDefault="009E6D93">
      <w:pPr>
        <w:spacing w:after="150"/>
        <w:ind w:left="709"/>
        <w:jc w:val="both"/>
        <w:rPr>
          <w:color w:val="000000"/>
          <w:sz w:val="22"/>
          <w:szCs w:val="22"/>
        </w:rPr>
      </w:pPr>
      <w:r>
        <w:rPr>
          <w:color w:val="000000"/>
          <w:sz w:val="22"/>
          <w:szCs w:val="22"/>
        </w:rPr>
        <w:t>2. RIAS para población con riesgo o presencia de enfermedades respiratorias crónicas.</w:t>
      </w:r>
    </w:p>
    <w:p w14:paraId="421390CC" w14:textId="77777777" w:rsidR="003B4DFE" w:rsidRDefault="009E6D93">
      <w:pPr>
        <w:spacing w:after="150"/>
        <w:ind w:left="709"/>
        <w:jc w:val="both"/>
        <w:rPr>
          <w:color w:val="000000"/>
          <w:sz w:val="22"/>
          <w:szCs w:val="22"/>
        </w:rPr>
      </w:pPr>
      <w:r>
        <w:rPr>
          <w:color w:val="000000"/>
          <w:sz w:val="22"/>
          <w:szCs w:val="22"/>
        </w:rPr>
        <w:t>3. RIAS para población con riesgo o presencia de alteraciones nutricionales.</w:t>
      </w:r>
    </w:p>
    <w:p w14:paraId="557FDAA0" w14:textId="77777777" w:rsidR="003B4DFE" w:rsidRDefault="009E6D93">
      <w:pPr>
        <w:spacing w:after="150"/>
        <w:ind w:left="709"/>
        <w:jc w:val="both"/>
        <w:rPr>
          <w:color w:val="000000"/>
          <w:sz w:val="22"/>
          <w:szCs w:val="22"/>
        </w:rPr>
      </w:pPr>
      <w:r>
        <w:rPr>
          <w:color w:val="000000"/>
          <w:sz w:val="22"/>
          <w:szCs w:val="22"/>
        </w:rPr>
        <w:t xml:space="preserve">4. RIAS para población con riesgo o presencia de trastornos mentales y del comportamiento manifiestos debido a uso de sustancias psicoactivas y adicciones. </w:t>
      </w:r>
    </w:p>
    <w:p w14:paraId="6C6BBDB4" w14:textId="77777777" w:rsidR="003B4DFE" w:rsidRDefault="009E6D93">
      <w:pPr>
        <w:spacing w:after="150"/>
        <w:ind w:left="709"/>
        <w:jc w:val="both"/>
        <w:rPr>
          <w:color w:val="000000"/>
          <w:sz w:val="22"/>
          <w:szCs w:val="22"/>
        </w:rPr>
      </w:pPr>
      <w:r>
        <w:rPr>
          <w:color w:val="000000"/>
          <w:sz w:val="22"/>
          <w:szCs w:val="22"/>
        </w:rPr>
        <w:t xml:space="preserve">5. RIAS para población con riesgo o presencia de trastornos psicosociales y del comportamiento. </w:t>
      </w:r>
    </w:p>
    <w:p w14:paraId="4EC15FD3" w14:textId="77777777" w:rsidR="003B4DFE" w:rsidRDefault="009E6D93">
      <w:pPr>
        <w:spacing w:after="150"/>
        <w:ind w:left="709"/>
        <w:jc w:val="both"/>
        <w:rPr>
          <w:sz w:val="22"/>
          <w:szCs w:val="22"/>
        </w:rPr>
      </w:pPr>
      <w:r>
        <w:rPr>
          <w:sz w:val="22"/>
          <w:szCs w:val="22"/>
        </w:rPr>
        <w:t xml:space="preserve">6. RIAS para población con riesgo o presencia de alteraciones en la salud bucal. </w:t>
      </w:r>
    </w:p>
    <w:p w14:paraId="27A25E83" w14:textId="77777777" w:rsidR="003B4DFE" w:rsidRDefault="009E6D93">
      <w:pPr>
        <w:spacing w:after="150"/>
        <w:ind w:left="709"/>
        <w:jc w:val="both"/>
        <w:rPr>
          <w:color w:val="000000"/>
          <w:sz w:val="22"/>
          <w:szCs w:val="22"/>
        </w:rPr>
      </w:pPr>
      <w:r>
        <w:rPr>
          <w:sz w:val="22"/>
          <w:szCs w:val="22"/>
        </w:rPr>
        <w:t>7. RIAS para población con riesgo o presencia de cáncer.</w:t>
      </w:r>
    </w:p>
    <w:p w14:paraId="0F63AC63" w14:textId="77777777" w:rsidR="003B4DFE" w:rsidRDefault="009E6D93">
      <w:pPr>
        <w:spacing w:after="150"/>
        <w:ind w:left="709"/>
        <w:jc w:val="both"/>
        <w:rPr>
          <w:color w:val="000000"/>
          <w:sz w:val="22"/>
          <w:szCs w:val="22"/>
        </w:rPr>
      </w:pPr>
      <w:r>
        <w:rPr>
          <w:color w:val="000000"/>
          <w:sz w:val="22"/>
          <w:szCs w:val="22"/>
        </w:rPr>
        <w:t xml:space="preserve">8. RIAS para población materno — perinatal. </w:t>
      </w:r>
    </w:p>
    <w:p w14:paraId="3E1A01D4" w14:textId="77777777" w:rsidR="003B4DFE" w:rsidRDefault="009E6D93">
      <w:pPr>
        <w:spacing w:after="150"/>
        <w:ind w:left="709"/>
        <w:jc w:val="both"/>
        <w:rPr>
          <w:color w:val="000000"/>
          <w:sz w:val="22"/>
          <w:szCs w:val="22"/>
        </w:rPr>
      </w:pPr>
      <w:r>
        <w:rPr>
          <w:color w:val="000000"/>
          <w:sz w:val="22"/>
          <w:szCs w:val="22"/>
        </w:rPr>
        <w:t xml:space="preserve">9. RIAS para población con riesgo o presencia de enfermedades infecciosas. </w:t>
      </w:r>
    </w:p>
    <w:p w14:paraId="3103E563" w14:textId="77777777" w:rsidR="003B4DFE" w:rsidRDefault="009E6D93">
      <w:pPr>
        <w:spacing w:after="150"/>
        <w:ind w:left="709"/>
        <w:jc w:val="both"/>
        <w:rPr>
          <w:color w:val="000000"/>
          <w:sz w:val="22"/>
          <w:szCs w:val="22"/>
        </w:rPr>
      </w:pPr>
      <w:r>
        <w:rPr>
          <w:color w:val="000000"/>
          <w:sz w:val="22"/>
          <w:szCs w:val="22"/>
        </w:rPr>
        <w:t xml:space="preserve">10. RIAS para población con riesgo o presencia de zoonosis y agresiones por animales. </w:t>
      </w:r>
    </w:p>
    <w:p w14:paraId="4A90412F" w14:textId="77777777" w:rsidR="003B4DFE" w:rsidRDefault="009E6D93">
      <w:pPr>
        <w:spacing w:after="150"/>
        <w:ind w:left="709"/>
        <w:jc w:val="both"/>
        <w:rPr>
          <w:color w:val="000000"/>
          <w:sz w:val="22"/>
          <w:szCs w:val="22"/>
        </w:rPr>
      </w:pPr>
      <w:r>
        <w:rPr>
          <w:color w:val="000000"/>
          <w:sz w:val="22"/>
          <w:szCs w:val="22"/>
        </w:rPr>
        <w:t xml:space="preserve">11. RIAS para población con riesgo o presencia de enfermedad y accidentes laborales. </w:t>
      </w:r>
    </w:p>
    <w:p w14:paraId="083A8B15" w14:textId="77777777" w:rsidR="003B4DFE" w:rsidRDefault="009E6D93">
      <w:pPr>
        <w:spacing w:after="150"/>
        <w:ind w:left="709"/>
        <w:jc w:val="both"/>
        <w:rPr>
          <w:color w:val="000000"/>
          <w:sz w:val="22"/>
          <w:szCs w:val="22"/>
        </w:rPr>
      </w:pPr>
      <w:r>
        <w:rPr>
          <w:color w:val="000000"/>
          <w:sz w:val="22"/>
          <w:szCs w:val="22"/>
        </w:rPr>
        <w:t xml:space="preserve">12. RIAS para población con riesgo o sujeto de agresiones, accidentes y traumas. </w:t>
      </w:r>
    </w:p>
    <w:p w14:paraId="4EF6CCD6" w14:textId="77777777" w:rsidR="003B4DFE" w:rsidRDefault="009E6D93">
      <w:pPr>
        <w:spacing w:after="150"/>
        <w:ind w:left="709"/>
        <w:jc w:val="both"/>
        <w:rPr>
          <w:color w:val="000000"/>
          <w:sz w:val="22"/>
          <w:szCs w:val="22"/>
        </w:rPr>
      </w:pPr>
      <w:r>
        <w:rPr>
          <w:color w:val="000000"/>
          <w:sz w:val="22"/>
          <w:szCs w:val="22"/>
        </w:rPr>
        <w:t xml:space="preserve">13. RIAS para población con riesgo o presencia de enfermedades y accidentes relacionados con el medio ambiente. </w:t>
      </w:r>
    </w:p>
    <w:p w14:paraId="0D2A80C8" w14:textId="77777777" w:rsidR="003B4DFE" w:rsidRDefault="009E6D93">
      <w:pPr>
        <w:spacing w:after="150"/>
        <w:ind w:left="709"/>
        <w:jc w:val="both"/>
        <w:rPr>
          <w:color w:val="000000"/>
          <w:sz w:val="22"/>
          <w:szCs w:val="22"/>
        </w:rPr>
      </w:pPr>
      <w:r>
        <w:rPr>
          <w:color w:val="000000"/>
          <w:sz w:val="22"/>
          <w:szCs w:val="22"/>
        </w:rPr>
        <w:t xml:space="preserve">14. RIAS para población con riesgo o presencia de enfermedades huérfanas. </w:t>
      </w:r>
    </w:p>
    <w:p w14:paraId="0BC3A6A1" w14:textId="77777777" w:rsidR="003B4DFE" w:rsidRDefault="009E6D93">
      <w:pPr>
        <w:spacing w:after="150"/>
        <w:ind w:left="709"/>
        <w:jc w:val="both"/>
        <w:rPr>
          <w:color w:val="000000"/>
          <w:sz w:val="22"/>
          <w:szCs w:val="22"/>
        </w:rPr>
      </w:pPr>
      <w:r>
        <w:rPr>
          <w:color w:val="000000"/>
          <w:sz w:val="22"/>
          <w:szCs w:val="22"/>
        </w:rPr>
        <w:t xml:space="preserve">15. RIAS para población con riesgo o presencia de trastornos visuales y auditivos. </w:t>
      </w:r>
    </w:p>
    <w:p w14:paraId="51BED845" w14:textId="77777777" w:rsidR="003B4DFE" w:rsidRDefault="009E6D93">
      <w:pPr>
        <w:spacing w:after="150"/>
        <w:ind w:left="709"/>
        <w:jc w:val="both"/>
        <w:rPr>
          <w:color w:val="000000"/>
          <w:sz w:val="22"/>
          <w:szCs w:val="22"/>
        </w:rPr>
      </w:pPr>
      <w:r>
        <w:rPr>
          <w:color w:val="000000"/>
          <w:sz w:val="22"/>
          <w:szCs w:val="22"/>
        </w:rPr>
        <w:t xml:space="preserve">16. RIAS para población con riesgo o presencia de trastornos degenerativos, neuropatías y auto-inmunes. </w:t>
      </w:r>
    </w:p>
    <w:p w14:paraId="2F759096" w14:textId="77777777" w:rsidR="003B4DFE" w:rsidRDefault="009E6D93">
      <w:pPr>
        <w:spacing w:after="150"/>
        <w:ind w:left="709"/>
        <w:jc w:val="both"/>
        <w:rPr>
          <w:color w:val="000000"/>
          <w:sz w:val="22"/>
          <w:szCs w:val="22"/>
        </w:rPr>
      </w:pPr>
      <w:r>
        <w:rPr>
          <w:b/>
          <w:color w:val="000000"/>
          <w:sz w:val="22"/>
          <w:szCs w:val="22"/>
        </w:rPr>
        <w:t>6.3. Ruta integral de atención en salud para eventos específicos.</w:t>
      </w:r>
      <w:r>
        <w:rPr>
          <w:color w:val="000000"/>
          <w:sz w:val="22"/>
          <w:szCs w:val="22"/>
        </w:rPr>
        <w:t xml:space="preserve"> Estas rutas se definen a partir de aquellos eventos específicos priorizados por cada grupo de población en riesgo a que refiere el numeral anterior. Este tipo de Rutas incorpora actividades individuales y colectivas que pueden ser realizadas en los entornos donde transcurre la vida de las personas y/o en los prestadores primarios y/o complementarios. Se orientan al tratamiento, rehabilitación y paliación, según sea el caso.</w:t>
      </w:r>
    </w:p>
    <w:p w14:paraId="6B3831B3" w14:textId="77777777" w:rsidR="003B4DFE" w:rsidRDefault="009E6D93">
      <w:pPr>
        <w:spacing w:after="150"/>
        <w:ind w:left="709"/>
        <w:jc w:val="both"/>
        <w:rPr>
          <w:color w:val="000000"/>
          <w:sz w:val="22"/>
          <w:szCs w:val="22"/>
        </w:rPr>
      </w:pPr>
      <w:r>
        <w:rPr>
          <w:b/>
          <w:color w:val="000000"/>
          <w:sz w:val="22"/>
          <w:szCs w:val="22"/>
        </w:rPr>
        <w:t>Parágrafo.</w:t>
      </w:r>
      <w:r>
        <w:rPr>
          <w:color w:val="000000"/>
          <w:sz w:val="22"/>
          <w:szCs w:val="22"/>
        </w:rPr>
        <w:t xml:space="preserve"> Los integrantes del Sistema podrán conformar otros grupos de riesgo de acuerdo con el comportamiento epidemiológico de la población a cargo y según las prioridades de su población y deberán desarrollar las Rutas de acuerdo con el "Manual metodológico para el diseño e implementación de la Rutas Integral de Atención en Salud — RIAS", adoptado por la presente resolución.</w:t>
      </w:r>
    </w:p>
    <w:p w14:paraId="6E1831B3" w14:textId="77777777" w:rsidR="003B4DFE" w:rsidRDefault="003B4DFE">
      <w:pPr>
        <w:jc w:val="both"/>
        <w:rPr>
          <w:color w:val="000000"/>
          <w:sz w:val="22"/>
          <w:szCs w:val="22"/>
          <w:highlight w:val="white"/>
        </w:rPr>
      </w:pPr>
    </w:p>
    <w:p w14:paraId="29CA64DC" w14:textId="77777777" w:rsidR="003B4DFE" w:rsidRDefault="009E6D93">
      <w:pPr>
        <w:numPr>
          <w:ilvl w:val="0"/>
          <w:numId w:val="5"/>
        </w:numPr>
        <w:pBdr>
          <w:top w:val="nil"/>
          <w:left w:val="nil"/>
          <w:bottom w:val="nil"/>
          <w:right w:val="nil"/>
          <w:between w:val="nil"/>
        </w:pBdr>
        <w:jc w:val="both"/>
        <w:rPr>
          <w:color w:val="000000"/>
          <w:sz w:val="22"/>
          <w:szCs w:val="22"/>
        </w:rPr>
      </w:pPr>
      <w:r>
        <w:rPr>
          <w:b/>
          <w:color w:val="000000"/>
          <w:sz w:val="22"/>
          <w:szCs w:val="22"/>
        </w:rPr>
        <w:t>Resolución 1531 de 1992 del Ministerio de Salud</w:t>
      </w:r>
      <w:r>
        <w:rPr>
          <w:color w:val="000000"/>
          <w:sz w:val="22"/>
          <w:szCs w:val="22"/>
        </w:rPr>
        <w:t xml:space="preserve">. </w:t>
      </w:r>
    </w:p>
    <w:p w14:paraId="54E11D2A" w14:textId="77777777" w:rsidR="003B4DFE" w:rsidRDefault="003B4DFE">
      <w:pPr>
        <w:jc w:val="both"/>
        <w:rPr>
          <w:color w:val="000000"/>
          <w:sz w:val="22"/>
          <w:szCs w:val="22"/>
        </w:rPr>
      </w:pPr>
    </w:p>
    <w:p w14:paraId="4516A4E9" w14:textId="77777777" w:rsidR="003B4DFE" w:rsidRDefault="009E6D93">
      <w:pPr>
        <w:ind w:left="709"/>
        <w:jc w:val="both"/>
        <w:rPr>
          <w:color w:val="000000"/>
          <w:sz w:val="22"/>
          <w:szCs w:val="22"/>
        </w:rPr>
      </w:pPr>
      <w:r>
        <w:rPr>
          <w:color w:val="000000"/>
          <w:sz w:val="22"/>
          <w:szCs w:val="22"/>
        </w:rPr>
        <w:t>“</w:t>
      </w:r>
      <w:r>
        <w:rPr>
          <w:i/>
          <w:color w:val="000000"/>
          <w:sz w:val="22"/>
          <w:szCs w:val="22"/>
        </w:rPr>
        <w:t>Sobre derechos de salud de las mujeres, contiene los derechos sexuales y reproductivos de las mujeres, tales como el derecho a decidir sobre aspectos que afectan su salud, su vida, su cuerpo, su sexualidad, a nivel individual, comunitario e institucional; el derecho a una maternidad feliz, es decir, una maternidad acompañada, deseada, libre, decidida, sin riesgos; el derecho a una atención médica humanizada, a un trato digno y respetuoso a su cuerpo, sus temores, sus necesidades de intimidad y privacidad; el derecho a ser tratada y atendida por los servicios de salud como ser integral y no exclusivamente como reproductora biológica</w:t>
      </w:r>
      <w:r>
        <w:rPr>
          <w:color w:val="000000"/>
          <w:sz w:val="22"/>
          <w:szCs w:val="22"/>
        </w:rPr>
        <w:t>”</w:t>
      </w:r>
      <w:r>
        <w:rPr>
          <w:color w:val="000000"/>
          <w:sz w:val="22"/>
          <w:szCs w:val="22"/>
          <w:vertAlign w:val="superscript"/>
        </w:rPr>
        <w:footnoteReference w:id="1"/>
      </w:r>
      <w:r>
        <w:rPr>
          <w:color w:val="000000"/>
          <w:sz w:val="22"/>
          <w:szCs w:val="22"/>
        </w:rPr>
        <w:t xml:space="preserve">. </w:t>
      </w:r>
    </w:p>
    <w:p w14:paraId="31126E5D" w14:textId="77777777" w:rsidR="003B4DFE" w:rsidRDefault="003B4DFE">
      <w:pPr>
        <w:jc w:val="both"/>
        <w:rPr>
          <w:b/>
          <w:color w:val="000000"/>
          <w:sz w:val="22"/>
          <w:szCs w:val="22"/>
          <w:highlight w:val="white"/>
        </w:rPr>
      </w:pPr>
    </w:p>
    <w:p w14:paraId="2DE403A5" w14:textId="77777777" w:rsidR="00D215FF" w:rsidRDefault="00D215FF">
      <w:pPr>
        <w:jc w:val="both"/>
        <w:rPr>
          <w:b/>
          <w:color w:val="000000"/>
          <w:sz w:val="22"/>
          <w:szCs w:val="22"/>
          <w:highlight w:val="white"/>
        </w:rPr>
      </w:pPr>
    </w:p>
    <w:p w14:paraId="62431CDC" w14:textId="77777777" w:rsidR="00D215FF" w:rsidRDefault="00D215FF">
      <w:pPr>
        <w:jc w:val="both"/>
        <w:rPr>
          <w:b/>
          <w:color w:val="000000"/>
          <w:sz w:val="22"/>
          <w:szCs w:val="22"/>
          <w:highlight w:val="white"/>
        </w:rPr>
      </w:pPr>
    </w:p>
    <w:p w14:paraId="40215A39" w14:textId="77777777" w:rsidR="003B4DFE" w:rsidRDefault="009E6D93">
      <w:pPr>
        <w:numPr>
          <w:ilvl w:val="0"/>
          <w:numId w:val="5"/>
        </w:numPr>
        <w:pBdr>
          <w:top w:val="nil"/>
          <w:left w:val="nil"/>
          <w:bottom w:val="nil"/>
          <w:right w:val="nil"/>
          <w:between w:val="nil"/>
        </w:pBdr>
        <w:jc w:val="both"/>
        <w:rPr>
          <w:b/>
          <w:color w:val="000000"/>
          <w:sz w:val="22"/>
          <w:szCs w:val="22"/>
        </w:rPr>
      </w:pPr>
      <w:r>
        <w:rPr>
          <w:b/>
          <w:color w:val="000000"/>
          <w:sz w:val="22"/>
          <w:szCs w:val="22"/>
        </w:rPr>
        <w:t xml:space="preserve">Resolución Número 3997 de 1996 (octubre 30) – “Por la cual se establecen las actividades y los procedimientos para el desarrollo de las acciones de promoción y prevención en el Sistema General de Seguridad Social en Salud (SGSSS)”. </w:t>
      </w:r>
    </w:p>
    <w:p w14:paraId="49E398E2" w14:textId="77777777" w:rsidR="003B4DFE" w:rsidRDefault="003B4DFE">
      <w:pPr>
        <w:jc w:val="both"/>
        <w:rPr>
          <w:b/>
          <w:color w:val="000000"/>
          <w:sz w:val="22"/>
          <w:szCs w:val="22"/>
        </w:rPr>
      </w:pPr>
    </w:p>
    <w:p w14:paraId="0DCDD936" w14:textId="77777777" w:rsidR="003B4DFE" w:rsidRDefault="009E6D93">
      <w:pPr>
        <w:ind w:left="709"/>
        <w:jc w:val="both"/>
        <w:rPr>
          <w:color w:val="000000"/>
          <w:sz w:val="22"/>
          <w:szCs w:val="22"/>
        </w:rPr>
      </w:pPr>
      <w:r>
        <w:rPr>
          <w:b/>
          <w:color w:val="000000"/>
          <w:sz w:val="22"/>
          <w:szCs w:val="22"/>
        </w:rPr>
        <w:t>Artículo 1. Objeto.</w:t>
      </w:r>
      <w:r>
        <w:rPr>
          <w:color w:val="000000"/>
          <w:sz w:val="22"/>
          <w:szCs w:val="22"/>
        </w:rPr>
        <w:t xml:space="preserve"> Determinar el conjunto de actividades de promoción de la salud y prevención de la enfermedad, de obligatorio cumplimiento por parte de las EPS, las Entidades Adaptadas, las Administradoras de Régimen Subsidiado (ARS) e Instituciones públicas prestadoras de servicios de salud y establecer los lineamientos para su evaluación y seguimiento. </w:t>
      </w:r>
    </w:p>
    <w:p w14:paraId="16287F21" w14:textId="77777777" w:rsidR="003B4DFE" w:rsidRDefault="003B4DFE">
      <w:pPr>
        <w:jc w:val="both"/>
        <w:rPr>
          <w:color w:val="000000"/>
          <w:sz w:val="22"/>
          <w:szCs w:val="22"/>
        </w:rPr>
      </w:pPr>
    </w:p>
    <w:p w14:paraId="69303D4D" w14:textId="77777777" w:rsidR="003B4DFE" w:rsidRDefault="009E6D93">
      <w:pPr>
        <w:ind w:left="709"/>
        <w:jc w:val="both"/>
        <w:rPr>
          <w:color w:val="000000"/>
          <w:sz w:val="22"/>
          <w:szCs w:val="22"/>
        </w:rPr>
      </w:pPr>
      <w:r>
        <w:rPr>
          <w:b/>
          <w:color w:val="000000"/>
          <w:sz w:val="22"/>
          <w:szCs w:val="22"/>
        </w:rPr>
        <w:t>Artículo 2. Campo de aplicación.</w:t>
      </w:r>
      <w:r>
        <w:rPr>
          <w:color w:val="000000"/>
          <w:sz w:val="22"/>
          <w:szCs w:val="22"/>
        </w:rPr>
        <w:t xml:space="preserve"> Esta resolución aplica a todas las Entidades Promotoras de Salud, las Entidades Adaptadas, las Administradoras del Régimen Subsidiado del SGSSS e Instituciones públicas prestadoras de servicios de salud en el territorio nacional. </w:t>
      </w:r>
    </w:p>
    <w:p w14:paraId="5BE93A62" w14:textId="77777777" w:rsidR="003B4DFE" w:rsidRDefault="003B4DFE">
      <w:pPr>
        <w:jc w:val="both"/>
        <w:rPr>
          <w:color w:val="000000"/>
          <w:sz w:val="22"/>
          <w:szCs w:val="22"/>
        </w:rPr>
      </w:pPr>
    </w:p>
    <w:p w14:paraId="0A671D68" w14:textId="77777777" w:rsidR="003B4DFE" w:rsidRDefault="009E6D93">
      <w:pPr>
        <w:ind w:left="709"/>
        <w:jc w:val="both"/>
        <w:rPr>
          <w:color w:val="000000"/>
          <w:sz w:val="22"/>
          <w:szCs w:val="22"/>
        </w:rPr>
      </w:pPr>
      <w:r>
        <w:rPr>
          <w:b/>
          <w:color w:val="000000"/>
          <w:sz w:val="22"/>
          <w:szCs w:val="22"/>
        </w:rPr>
        <w:t xml:space="preserve">Artículo 3. De la promoción en el sistema integral de seguridad social. </w:t>
      </w:r>
      <w:r>
        <w:rPr>
          <w:color w:val="000000"/>
          <w:sz w:val="22"/>
          <w:szCs w:val="22"/>
        </w:rPr>
        <w:t>Se define la promoción de la salud como la integración de las acciones que realizan la población, los servicios de salud, las autoridades sanitarias y los sectores sociales y productivos con el objeto de garantizar, más allá de la ausencia de enfermedad, mejores condiciones de salud físicas, síquicas y sociales de los individuos y las colectividades.</w:t>
      </w:r>
    </w:p>
    <w:p w14:paraId="384BA73E" w14:textId="77777777" w:rsidR="003B4DFE" w:rsidRDefault="003B4DFE">
      <w:pPr>
        <w:jc w:val="both"/>
        <w:rPr>
          <w:b/>
          <w:color w:val="000000"/>
          <w:sz w:val="22"/>
          <w:szCs w:val="22"/>
        </w:rPr>
      </w:pPr>
    </w:p>
    <w:p w14:paraId="34B3F2EB" w14:textId="77777777" w:rsidR="003B4DFE" w:rsidRDefault="003B4DFE">
      <w:pPr>
        <w:jc w:val="both"/>
        <w:rPr>
          <w:b/>
          <w:color w:val="000000"/>
          <w:sz w:val="22"/>
          <w:szCs w:val="22"/>
        </w:rPr>
      </w:pPr>
    </w:p>
    <w:p w14:paraId="74D02B81" w14:textId="77777777" w:rsidR="003B4DFE" w:rsidRDefault="009E6D93">
      <w:pPr>
        <w:jc w:val="both"/>
        <w:rPr>
          <w:b/>
          <w:color w:val="000000"/>
          <w:sz w:val="22"/>
          <w:szCs w:val="22"/>
          <w:u w:val="single"/>
        </w:rPr>
      </w:pPr>
      <w:r>
        <w:rPr>
          <w:b/>
          <w:color w:val="000000"/>
          <w:sz w:val="22"/>
          <w:szCs w:val="22"/>
          <w:u w:val="single"/>
        </w:rPr>
        <w:t>4.2 DEL ORDEN DISTRITAL.</w:t>
      </w:r>
    </w:p>
    <w:p w14:paraId="7D34F5C7" w14:textId="77777777" w:rsidR="003B4DFE" w:rsidRDefault="003B4DFE">
      <w:pPr>
        <w:jc w:val="both"/>
        <w:rPr>
          <w:b/>
          <w:color w:val="000000"/>
          <w:sz w:val="22"/>
          <w:szCs w:val="22"/>
        </w:rPr>
      </w:pPr>
    </w:p>
    <w:p w14:paraId="0B4020A7" w14:textId="39BA3ED7" w:rsidR="003B4DFE" w:rsidRDefault="00D86797" w:rsidP="00D86797">
      <w:pPr>
        <w:pStyle w:val="Prrafodelista"/>
        <w:numPr>
          <w:ilvl w:val="0"/>
          <w:numId w:val="8"/>
        </w:numPr>
        <w:jc w:val="both"/>
        <w:rPr>
          <w:b/>
          <w:sz w:val="22"/>
          <w:szCs w:val="22"/>
          <w:highlight w:val="white"/>
        </w:rPr>
      </w:pPr>
      <w:r w:rsidRPr="00D86797">
        <w:rPr>
          <w:b/>
          <w:sz w:val="22"/>
          <w:szCs w:val="22"/>
          <w:highlight w:val="white"/>
        </w:rPr>
        <w:t xml:space="preserve">Acuerdo 927 de 2024 “Por medio del cual se adopta el Plan de Desarrollo Económico, Social, Ambiental y de Obras Públicas del Distrito Capital 2024-2027 “Bogotá Camina Segura” </w:t>
      </w:r>
    </w:p>
    <w:p w14:paraId="3909825E" w14:textId="5A995265" w:rsidR="00D86797" w:rsidRDefault="00D86797" w:rsidP="00D86797">
      <w:pPr>
        <w:jc w:val="both"/>
        <w:rPr>
          <w:b/>
          <w:sz w:val="22"/>
          <w:szCs w:val="22"/>
          <w:highlight w:val="white"/>
        </w:rPr>
      </w:pPr>
    </w:p>
    <w:p w14:paraId="65638E15" w14:textId="77777777" w:rsidR="00DC1525" w:rsidRPr="00DC1525" w:rsidRDefault="00DC1525" w:rsidP="00DC1525">
      <w:pPr>
        <w:shd w:val="clear" w:color="auto" w:fill="FFFFFF"/>
        <w:ind w:left="720"/>
        <w:jc w:val="both"/>
        <w:rPr>
          <w:rFonts w:ascii="Times New Roman" w:eastAsia="Times New Roman" w:hAnsi="Times New Roman" w:cs="Times New Roman"/>
          <w:color w:val="000000" w:themeColor="text1"/>
          <w:sz w:val="22"/>
          <w:szCs w:val="22"/>
          <w:lang w:val="es-CO"/>
        </w:rPr>
      </w:pPr>
      <w:r w:rsidRPr="00DC1525">
        <w:rPr>
          <w:rFonts w:eastAsia="Times New Roman"/>
          <w:b/>
          <w:bCs/>
          <w:color w:val="000000" w:themeColor="text1"/>
          <w:sz w:val="22"/>
          <w:szCs w:val="22"/>
        </w:rPr>
        <w:t>10.4.</w:t>
      </w:r>
      <w:r w:rsidRPr="00DC1525">
        <w:rPr>
          <w:rFonts w:ascii="Times New Roman" w:eastAsia="Times New Roman" w:hAnsi="Times New Roman" w:cs="Times New Roman"/>
          <w:color w:val="000000" w:themeColor="text1"/>
          <w:sz w:val="22"/>
          <w:szCs w:val="22"/>
          <w:lang w:val="es-CO"/>
        </w:rPr>
        <w:t> </w:t>
      </w:r>
      <w:r w:rsidRPr="00DC1525">
        <w:rPr>
          <w:rFonts w:eastAsia="Times New Roman"/>
          <w:b/>
          <w:bCs/>
          <w:color w:val="000000" w:themeColor="text1"/>
          <w:sz w:val="22"/>
          <w:szCs w:val="22"/>
        </w:rPr>
        <w:t>Programa 10. Salud Pública Integrada e Integral. </w:t>
      </w:r>
      <w:r w:rsidRPr="00DC1525">
        <w:rPr>
          <w:rFonts w:eastAsia="Times New Roman"/>
          <w:color w:val="000000" w:themeColor="text1"/>
          <w:sz w:val="22"/>
          <w:szCs w:val="22"/>
        </w:rPr>
        <w:t>Para el Bien-Estar de las personas, con el desarrollo de este programa, se busca la articulación intersectorial y transectorial mediante los mecanismos de coordinación y cooperación para favorecer el desarrollo de alianzas y potenciar acciones de gobernanza y Atención Primaria Social para la afectación positiva de los determinantes sociales de las inequidades en salud dadas por condiciones socioeconómicas y ambientales; y del acceso a servicios básicos y características personales sobre hábitos aprendidos y estilos de vida. En este sentido, a través del fortalecimiento de la autoridad sanitaria y la participación ciudadana, se adelantarán acciones orientadas a lograr una gestión en salud coordinada para incidir en la capacidad de la ciudad en atender las diferentes enfermedades tanto físicas como mentales de los habitantes; y en busca de reducir las inequidades de la población. Para la efectividad de lo anterior, y en aras del cumplimiento de los pilares de la Atención Primaria Social, será determinante el fomento y modernización de las instancias de participación en salud dispuestas por la Ley, así como la inclusión de actores relevantes como lo son la academia, organizaciones de base comunitaria, organizaciones de pacientes, entre otros, que permiten aunar esfuerzos en el marco de las problemáticas prioritarias en salud pública haciendo énfasis en salud mental, para lo cual es necesaria la articulación con la Red Distrital de Salud Mental en la ciudad. Se busca que desde el ejercicio de la gobernanza y la gobernabilidad pueda obtenerse un mayor logro de los objetivos colectivos en salud, mayores niveles de participación ciudadana y de grupos de interés, y una mejor rectoría, con miras a aumentar el número de acciones de inspección, vigilancia y control, y a la promoción de liderazgos comunitarios, desde los enfoques de género, de derechos humanos, diferencial-poblacional e interseccional. Una buena rectoría o gobernanza en salud, en relación con los determinantes sociales implica procesos transparentes e incluyentes de toma de decisiones que tengan en cuenta a todos los grupos poblacionales y sectores sociales interesados, para garantizar que se reconozcan las necesidades de los más afectados por las inequidades sociales y sanitarias. Por ello, se contará con un sistema de información sectorial e intersectorial para la operación, monitoreo, comunicación y divulgación de resultados de la APSocial de Bogotá que contribuya a la toma de decisiones y el conocimiento de información. Además, que suministre datos confiables y de calidad, que aborden los determinantes sociales de la salud y contribuyan con información a los tomadores de decisiones en políticas públicas y para conocimiento de los habitantes de Bogotá.</w:t>
      </w:r>
    </w:p>
    <w:p w14:paraId="374E9CE3" w14:textId="55FC54D6" w:rsidR="00DC1525" w:rsidRDefault="00DC1525" w:rsidP="00DC1525">
      <w:pPr>
        <w:shd w:val="clear" w:color="auto" w:fill="FFFFFF"/>
        <w:jc w:val="both"/>
        <w:rPr>
          <w:rFonts w:eastAsia="Times New Roman"/>
          <w:b/>
          <w:bCs/>
          <w:color w:val="333333"/>
        </w:rPr>
      </w:pPr>
      <w:r w:rsidRPr="00DC1525">
        <w:rPr>
          <w:rFonts w:eastAsia="Times New Roman"/>
          <w:b/>
          <w:bCs/>
          <w:color w:val="333333"/>
        </w:rPr>
        <w:t> </w:t>
      </w:r>
    </w:p>
    <w:p w14:paraId="3CCFAB95" w14:textId="77777777" w:rsidR="00711994" w:rsidRPr="00711994" w:rsidRDefault="00711994" w:rsidP="00711994">
      <w:pPr>
        <w:shd w:val="clear" w:color="auto" w:fill="FFFFFF"/>
        <w:ind w:left="720"/>
        <w:jc w:val="both"/>
        <w:rPr>
          <w:color w:val="000000" w:themeColor="text1"/>
          <w:sz w:val="22"/>
          <w:szCs w:val="22"/>
        </w:rPr>
      </w:pPr>
      <w:r w:rsidRPr="00711994">
        <w:rPr>
          <w:b/>
          <w:bCs/>
          <w:color w:val="000000" w:themeColor="text1"/>
          <w:sz w:val="22"/>
          <w:szCs w:val="22"/>
        </w:rPr>
        <w:t>Artículo</w:t>
      </w:r>
      <w:r w:rsidRPr="00711994">
        <w:rPr>
          <w:color w:val="000000" w:themeColor="text1"/>
          <w:sz w:val="22"/>
          <w:szCs w:val="22"/>
        </w:rPr>
        <w:t> </w:t>
      </w:r>
      <w:r w:rsidRPr="00711994">
        <w:rPr>
          <w:b/>
          <w:bCs/>
          <w:color w:val="000000" w:themeColor="text1"/>
          <w:sz w:val="22"/>
          <w:szCs w:val="22"/>
        </w:rPr>
        <w:t>44. Plan de Prevención y Atención Efectiva, Humanizada e Integral de salud mental.</w:t>
      </w:r>
      <w:r w:rsidRPr="00711994">
        <w:rPr>
          <w:color w:val="000000" w:themeColor="text1"/>
          <w:sz w:val="22"/>
          <w:szCs w:val="22"/>
        </w:rPr>
        <w:t> Modifíquese el artículo </w:t>
      </w:r>
      <w:hyperlink r:id="rId9" w:anchor="101" w:history="1">
        <w:r w:rsidRPr="00711994">
          <w:rPr>
            <w:rStyle w:val="Hipervnculo"/>
            <w:color w:val="000000" w:themeColor="text1"/>
            <w:sz w:val="22"/>
            <w:szCs w:val="22"/>
          </w:rPr>
          <w:t>101</w:t>
        </w:r>
      </w:hyperlink>
      <w:r w:rsidRPr="00711994">
        <w:rPr>
          <w:color w:val="000000" w:themeColor="text1"/>
          <w:sz w:val="22"/>
          <w:szCs w:val="22"/>
        </w:rPr>
        <w:t> del Acuerdo Distrital 761 de 2020, el cual quedará así:</w:t>
      </w:r>
    </w:p>
    <w:p w14:paraId="05F64FD2" w14:textId="77777777" w:rsidR="00711994" w:rsidRPr="00711994" w:rsidRDefault="00711994" w:rsidP="00711994">
      <w:pPr>
        <w:shd w:val="clear" w:color="auto" w:fill="FFFFFF"/>
        <w:ind w:left="720"/>
        <w:jc w:val="both"/>
        <w:rPr>
          <w:color w:val="000000" w:themeColor="text1"/>
          <w:sz w:val="22"/>
          <w:szCs w:val="22"/>
        </w:rPr>
      </w:pPr>
      <w:r w:rsidRPr="00711994">
        <w:rPr>
          <w:color w:val="000000" w:themeColor="text1"/>
          <w:sz w:val="22"/>
          <w:szCs w:val="22"/>
        </w:rPr>
        <w:br/>
      </w:r>
      <w:r w:rsidRPr="00711994">
        <w:rPr>
          <w:i/>
          <w:iCs/>
          <w:color w:val="000000" w:themeColor="text1"/>
          <w:sz w:val="22"/>
          <w:szCs w:val="22"/>
        </w:rPr>
        <w:t>“</w:t>
      </w:r>
      <w:r w:rsidRPr="00711994">
        <w:rPr>
          <w:b/>
          <w:bCs/>
          <w:i/>
          <w:iCs/>
          <w:color w:val="000000" w:themeColor="text1"/>
          <w:sz w:val="22"/>
          <w:szCs w:val="22"/>
        </w:rPr>
        <w:t>Artículo 101. Plan Intersectorial de Prevención y Atención Efectiva, Humanizada, Integral e Intersectorial de salud mental. </w:t>
      </w:r>
      <w:r w:rsidRPr="00711994">
        <w:rPr>
          <w:i/>
          <w:iCs/>
          <w:color w:val="000000" w:themeColor="text1"/>
          <w:sz w:val="22"/>
          <w:szCs w:val="22"/>
        </w:rPr>
        <w:t>Reconociendo los desafíos en salud mental que enfrentamos en la ciudad, dado el impacto histórico del conflicto social armado, las secuelas psicosociales de la pandemia, las inequidades socioeconómicas persistentes y los problemas emergentes, la Secretaría Distrital de Salud formulará e implementará un Plan de Prevención y Atención Efectiva, Humanizada, Resolutiva, Integral e Intersectorial para las personas con riesgo y viviendo con alteraciones y trastornos en salud mental, a través de la concurrencia de esfuerzos de todos los sectores, con enfoque poblacional, por momento de curso de vida (infancia, adolescencia, juventud, adultez y persona mayor) diferencial y de género, territorializado en las 20 Localidades de la ciudad, priorizando las rutas de atención a vulneraciones de Derechos humanos.</w:t>
      </w:r>
    </w:p>
    <w:p w14:paraId="5560D2DA" w14:textId="6DDA6426" w:rsidR="00711994" w:rsidRPr="00711994" w:rsidRDefault="00711994" w:rsidP="00711994">
      <w:pPr>
        <w:shd w:val="clear" w:color="auto" w:fill="FFFFFF"/>
        <w:ind w:left="720"/>
        <w:jc w:val="both"/>
        <w:rPr>
          <w:color w:val="000000" w:themeColor="text1"/>
          <w:sz w:val="22"/>
          <w:szCs w:val="22"/>
        </w:rPr>
      </w:pPr>
    </w:p>
    <w:p w14:paraId="7E85CB6F" w14:textId="77777777" w:rsidR="00711994" w:rsidRPr="00711994" w:rsidRDefault="00711994" w:rsidP="00711994">
      <w:pPr>
        <w:shd w:val="clear" w:color="auto" w:fill="FFFFFF"/>
        <w:ind w:left="720"/>
        <w:jc w:val="both"/>
        <w:rPr>
          <w:color w:val="000000" w:themeColor="text1"/>
          <w:sz w:val="22"/>
          <w:szCs w:val="22"/>
        </w:rPr>
      </w:pPr>
      <w:r w:rsidRPr="00711994">
        <w:rPr>
          <w:i/>
          <w:iCs/>
          <w:color w:val="000000" w:themeColor="text1"/>
          <w:sz w:val="22"/>
          <w:szCs w:val="22"/>
        </w:rPr>
        <w:t>El Plan deberá contar con metas e indicadores por tipo de población, así como la definición de una periodicidad en su evaluación, la cual deberá ser pública y ampliamente difundida por la Administración”.</w:t>
      </w:r>
    </w:p>
    <w:p w14:paraId="4C4F7041" w14:textId="1E9257A4" w:rsidR="00DC1525" w:rsidRDefault="00DC1525" w:rsidP="00DC1525">
      <w:pPr>
        <w:shd w:val="clear" w:color="auto" w:fill="FFFFFF"/>
        <w:jc w:val="both"/>
        <w:rPr>
          <w:rFonts w:eastAsia="Times New Roman"/>
          <w:b/>
          <w:bCs/>
          <w:color w:val="333333"/>
        </w:rPr>
      </w:pPr>
    </w:p>
    <w:p w14:paraId="6F38E2E0" w14:textId="47714AAE" w:rsidR="00DC1525" w:rsidRPr="00DC1525" w:rsidRDefault="00421369" w:rsidP="00421369">
      <w:pPr>
        <w:shd w:val="clear" w:color="auto" w:fill="FFFFFF"/>
        <w:ind w:left="720"/>
        <w:jc w:val="both"/>
        <w:rPr>
          <w:rFonts w:ascii="Times New Roman" w:eastAsia="Times New Roman" w:hAnsi="Times New Roman" w:cs="Times New Roman"/>
          <w:color w:val="000000" w:themeColor="text1"/>
          <w:sz w:val="22"/>
          <w:szCs w:val="22"/>
          <w:lang w:val="es-CO"/>
        </w:rPr>
      </w:pPr>
      <w:r w:rsidRPr="00421369">
        <w:rPr>
          <w:b/>
          <w:bCs/>
          <w:color w:val="000000" w:themeColor="text1"/>
          <w:sz w:val="22"/>
          <w:szCs w:val="22"/>
          <w:shd w:val="clear" w:color="auto" w:fill="FFFFFF"/>
        </w:rPr>
        <w:t>Artículo</w:t>
      </w:r>
      <w:r w:rsidRPr="00421369">
        <w:rPr>
          <w:color w:val="000000" w:themeColor="text1"/>
          <w:sz w:val="22"/>
          <w:szCs w:val="22"/>
          <w:shd w:val="clear" w:color="auto" w:fill="FFFFFF"/>
        </w:rPr>
        <w:t> </w:t>
      </w:r>
      <w:r w:rsidRPr="00421369">
        <w:rPr>
          <w:b/>
          <w:bCs/>
          <w:color w:val="000000" w:themeColor="text1"/>
          <w:sz w:val="22"/>
          <w:szCs w:val="22"/>
          <w:shd w:val="clear" w:color="auto" w:fill="FFFFFF"/>
        </w:rPr>
        <w:t>259. Inversiones en estrategias de salud mental a través de los Fondos de Desarrollo Local.</w:t>
      </w:r>
      <w:r w:rsidRPr="00421369">
        <w:rPr>
          <w:color w:val="000000" w:themeColor="text1"/>
          <w:sz w:val="22"/>
          <w:szCs w:val="22"/>
          <w:shd w:val="clear" w:color="auto" w:fill="FFFFFF"/>
        </w:rPr>
        <w:t> Los Fondos de Desarrollo Local, de acuerdo con las disposiciones establecidas para el componente de salud mental en el Plan Territorial de Salud 2024-2027, podrá realizar inversiones complementarias en materia de promoción y fortalecimiento de la salud mental en los entornos familiar y comunitario en el ámbito de su jurisdicción. Se priorizarán aquellas inversiones locales que apalanquen el desarrollo de estrategias relacionadas con la prevención de la violencia intrafamiliar y el maltrato infantil, la promoción del autocuidado y el empoderamiento de los ciudadanos a través de herramientas de apoyo emocional y acompañamiento a personas que enfrentan escenarios de crisis.</w:t>
      </w:r>
    </w:p>
    <w:p w14:paraId="46FAC87A" w14:textId="77777777" w:rsidR="00D86797" w:rsidRPr="00D86797" w:rsidRDefault="00D86797" w:rsidP="00D1064E">
      <w:pPr>
        <w:ind w:left="720"/>
        <w:jc w:val="both"/>
        <w:rPr>
          <w:b/>
          <w:sz w:val="22"/>
          <w:szCs w:val="22"/>
          <w:highlight w:val="white"/>
        </w:rPr>
      </w:pPr>
    </w:p>
    <w:p w14:paraId="44AEC4C4" w14:textId="77777777" w:rsidR="00D86797" w:rsidRDefault="00D86797">
      <w:pPr>
        <w:jc w:val="both"/>
        <w:rPr>
          <w:sz w:val="22"/>
          <w:szCs w:val="22"/>
        </w:rPr>
      </w:pPr>
    </w:p>
    <w:p w14:paraId="092B9209" w14:textId="5C31107F" w:rsidR="003B4DFE" w:rsidRDefault="009E6D93">
      <w:pPr>
        <w:numPr>
          <w:ilvl w:val="0"/>
          <w:numId w:val="5"/>
        </w:numPr>
        <w:pBdr>
          <w:top w:val="nil"/>
          <w:left w:val="nil"/>
          <w:bottom w:val="nil"/>
          <w:right w:val="nil"/>
          <w:between w:val="nil"/>
        </w:pBdr>
        <w:jc w:val="both"/>
        <w:rPr>
          <w:b/>
          <w:color w:val="000000"/>
          <w:sz w:val="22"/>
          <w:szCs w:val="22"/>
        </w:rPr>
      </w:pPr>
      <w:r>
        <w:rPr>
          <w:b/>
          <w:color w:val="000000"/>
          <w:sz w:val="22"/>
          <w:szCs w:val="22"/>
        </w:rPr>
        <w:t xml:space="preserve">Resolución 2189 de 2018 </w:t>
      </w:r>
      <w:r>
        <w:rPr>
          <w:b/>
          <w:sz w:val="22"/>
          <w:szCs w:val="22"/>
        </w:rPr>
        <w:t>“</w:t>
      </w:r>
      <w:r>
        <w:rPr>
          <w:b/>
          <w:sz w:val="22"/>
          <w:szCs w:val="22"/>
          <w:highlight w:val="white"/>
        </w:rPr>
        <w:t>Por la cual se establecen los criter</w:t>
      </w:r>
      <w:r w:rsidR="003F7440">
        <w:rPr>
          <w:b/>
          <w:sz w:val="22"/>
          <w:szCs w:val="22"/>
          <w:highlight w:val="white"/>
        </w:rPr>
        <w:t xml:space="preserve">ios y pautas que deben cumplir </w:t>
      </w:r>
      <w:r>
        <w:rPr>
          <w:b/>
          <w:sz w:val="22"/>
          <w:szCs w:val="22"/>
          <w:highlight w:val="white"/>
        </w:rPr>
        <w:t>las Instituciones Prestadoras de Servicios de Salud (IPS) del Distrito Ca</w:t>
      </w:r>
      <w:r w:rsidR="00075735">
        <w:rPr>
          <w:b/>
          <w:sz w:val="22"/>
          <w:szCs w:val="22"/>
          <w:highlight w:val="white"/>
        </w:rPr>
        <w:t xml:space="preserve">pital para Mejorar la Atención </w:t>
      </w:r>
      <w:r>
        <w:rPr>
          <w:b/>
          <w:sz w:val="22"/>
          <w:szCs w:val="22"/>
          <w:highlight w:val="white"/>
        </w:rPr>
        <w:t>Materna”.</w:t>
      </w:r>
    </w:p>
    <w:p w14:paraId="675E05EE" w14:textId="77777777" w:rsidR="003B4DFE" w:rsidRDefault="003B4DFE">
      <w:pPr>
        <w:pBdr>
          <w:top w:val="nil"/>
          <w:left w:val="nil"/>
          <w:bottom w:val="nil"/>
          <w:right w:val="nil"/>
          <w:between w:val="nil"/>
        </w:pBdr>
        <w:jc w:val="both"/>
        <w:rPr>
          <w:b/>
          <w:sz w:val="22"/>
          <w:szCs w:val="22"/>
          <w:highlight w:val="white"/>
        </w:rPr>
      </w:pPr>
    </w:p>
    <w:p w14:paraId="2FC17F8B" w14:textId="77777777" w:rsidR="003B4DFE" w:rsidRDefault="003B4DFE">
      <w:pPr>
        <w:pBdr>
          <w:top w:val="nil"/>
          <w:left w:val="nil"/>
          <w:bottom w:val="nil"/>
          <w:right w:val="nil"/>
          <w:between w:val="nil"/>
        </w:pBdr>
        <w:jc w:val="both"/>
        <w:rPr>
          <w:b/>
          <w:sz w:val="22"/>
          <w:szCs w:val="22"/>
          <w:highlight w:val="white"/>
        </w:rPr>
      </w:pPr>
    </w:p>
    <w:p w14:paraId="7D42AAAA" w14:textId="77777777" w:rsidR="003B4DFE" w:rsidRDefault="009E6D93">
      <w:pPr>
        <w:shd w:val="clear" w:color="auto" w:fill="FFFFFF"/>
        <w:ind w:left="708"/>
        <w:jc w:val="both"/>
        <w:rPr>
          <w:sz w:val="22"/>
          <w:szCs w:val="22"/>
          <w:highlight w:val="white"/>
        </w:rPr>
      </w:pPr>
      <w:r>
        <w:rPr>
          <w:sz w:val="22"/>
          <w:szCs w:val="22"/>
          <w:highlight w:val="white"/>
        </w:rPr>
        <w:t>Artículo Tercero: Criterios y pautas para la Atención Materna. Las Instituciones Prestadoras de Servicios de Salud (IPS) del Distrito Capital, deben cumplir los siguientes criterios y pautas:</w:t>
      </w:r>
    </w:p>
    <w:p w14:paraId="29D6B04F" w14:textId="77777777" w:rsidR="003B4DFE" w:rsidRDefault="009E6D93">
      <w:pPr>
        <w:shd w:val="clear" w:color="auto" w:fill="FFFFFF"/>
        <w:ind w:left="708"/>
        <w:jc w:val="both"/>
        <w:rPr>
          <w:sz w:val="22"/>
          <w:szCs w:val="22"/>
          <w:highlight w:val="white"/>
        </w:rPr>
      </w:pPr>
      <w:r>
        <w:rPr>
          <w:sz w:val="22"/>
          <w:szCs w:val="22"/>
          <w:highlight w:val="white"/>
        </w:rPr>
        <w:t xml:space="preserve"> </w:t>
      </w:r>
    </w:p>
    <w:p w14:paraId="49BDF738" w14:textId="77777777" w:rsidR="003B4DFE" w:rsidRDefault="009E6D93">
      <w:pPr>
        <w:shd w:val="clear" w:color="auto" w:fill="FFFFFF"/>
        <w:ind w:left="708"/>
        <w:jc w:val="both"/>
        <w:rPr>
          <w:sz w:val="22"/>
          <w:szCs w:val="22"/>
          <w:highlight w:val="white"/>
        </w:rPr>
      </w:pPr>
      <w:r>
        <w:rPr>
          <w:sz w:val="22"/>
          <w:szCs w:val="22"/>
          <w:highlight w:val="white"/>
        </w:rPr>
        <w:t>1. Garantizar la atención inmediata a toda gestante o puérpera que demande el servicio de urgencias.</w:t>
      </w:r>
    </w:p>
    <w:p w14:paraId="0A6959E7" w14:textId="77777777" w:rsidR="003B4DFE" w:rsidRDefault="009E6D93">
      <w:pPr>
        <w:shd w:val="clear" w:color="auto" w:fill="FFFFFF"/>
        <w:ind w:left="708"/>
        <w:jc w:val="both"/>
        <w:rPr>
          <w:sz w:val="22"/>
          <w:szCs w:val="22"/>
          <w:highlight w:val="white"/>
        </w:rPr>
      </w:pPr>
      <w:r>
        <w:rPr>
          <w:sz w:val="22"/>
          <w:szCs w:val="22"/>
          <w:highlight w:val="white"/>
        </w:rPr>
        <w:t xml:space="preserve"> </w:t>
      </w:r>
    </w:p>
    <w:p w14:paraId="15680A23" w14:textId="77777777" w:rsidR="003B4DFE" w:rsidRDefault="009E6D93">
      <w:pPr>
        <w:shd w:val="clear" w:color="auto" w:fill="FFFFFF"/>
        <w:ind w:left="708"/>
        <w:jc w:val="both"/>
        <w:rPr>
          <w:sz w:val="22"/>
          <w:szCs w:val="22"/>
          <w:highlight w:val="white"/>
        </w:rPr>
      </w:pPr>
      <w:r>
        <w:rPr>
          <w:sz w:val="22"/>
          <w:szCs w:val="22"/>
          <w:highlight w:val="white"/>
        </w:rPr>
        <w:t>2. Garantizar la disponibilidad permanente del Kit de Emergencia Obstétrica (EO) con los insumos críticos establecidos por la Secretaría Distrital de Salud para la atención materna.</w:t>
      </w:r>
    </w:p>
    <w:p w14:paraId="100C5B58" w14:textId="77777777" w:rsidR="003B4DFE" w:rsidRDefault="009E6D93">
      <w:pPr>
        <w:shd w:val="clear" w:color="auto" w:fill="FFFFFF"/>
        <w:ind w:left="708"/>
        <w:jc w:val="both"/>
        <w:rPr>
          <w:sz w:val="22"/>
          <w:szCs w:val="22"/>
          <w:highlight w:val="white"/>
        </w:rPr>
      </w:pPr>
      <w:r>
        <w:rPr>
          <w:sz w:val="22"/>
          <w:szCs w:val="22"/>
          <w:highlight w:val="white"/>
        </w:rPr>
        <w:t xml:space="preserve"> </w:t>
      </w:r>
    </w:p>
    <w:p w14:paraId="5130B58A" w14:textId="77777777" w:rsidR="003B4DFE" w:rsidRDefault="009E6D93">
      <w:pPr>
        <w:shd w:val="clear" w:color="auto" w:fill="FFFFFF"/>
        <w:ind w:left="708"/>
        <w:jc w:val="both"/>
        <w:rPr>
          <w:sz w:val="22"/>
          <w:szCs w:val="22"/>
          <w:highlight w:val="white"/>
        </w:rPr>
      </w:pPr>
      <w:r>
        <w:rPr>
          <w:sz w:val="22"/>
          <w:szCs w:val="22"/>
          <w:highlight w:val="white"/>
        </w:rPr>
        <w:t>3. Realizar el seguimiento trimestral de la adherencia a las Guías distritales de Atención Materna de: 1) Control Prenatal; 2)</w:t>
      </w:r>
      <w:r w:rsidR="00D215FF">
        <w:rPr>
          <w:sz w:val="22"/>
          <w:szCs w:val="22"/>
          <w:highlight w:val="white"/>
        </w:rPr>
        <w:t xml:space="preserve"> </w:t>
      </w:r>
      <w:r>
        <w:rPr>
          <w:sz w:val="22"/>
          <w:szCs w:val="22"/>
          <w:highlight w:val="white"/>
        </w:rPr>
        <w:t>Trabajo de Parto y sus complicaciones, 3) Sepsis Obstétrica, 4) Hemorragia Posparto – Código Rojo y 5) Atención de Trastornos Hipertensivos en el embarazo, mediante el diligenciamiento de los Instrumentos establecidos por la Secretaría Distrital de Salud para la atención materna.</w:t>
      </w:r>
    </w:p>
    <w:p w14:paraId="12F40E89" w14:textId="77777777" w:rsidR="003B4DFE" w:rsidRDefault="009E6D93">
      <w:pPr>
        <w:shd w:val="clear" w:color="auto" w:fill="FFFFFF"/>
        <w:ind w:left="708"/>
        <w:jc w:val="both"/>
        <w:rPr>
          <w:sz w:val="22"/>
          <w:szCs w:val="22"/>
          <w:highlight w:val="white"/>
        </w:rPr>
      </w:pPr>
      <w:r>
        <w:rPr>
          <w:sz w:val="22"/>
          <w:szCs w:val="22"/>
          <w:highlight w:val="white"/>
        </w:rPr>
        <w:t xml:space="preserve"> </w:t>
      </w:r>
    </w:p>
    <w:p w14:paraId="12848120" w14:textId="77777777" w:rsidR="003B4DFE" w:rsidRDefault="009E6D93">
      <w:pPr>
        <w:shd w:val="clear" w:color="auto" w:fill="FFFFFF"/>
        <w:ind w:left="708"/>
        <w:jc w:val="both"/>
        <w:rPr>
          <w:sz w:val="22"/>
          <w:szCs w:val="22"/>
          <w:highlight w:val="white"/>
        </w:rPr>
      </w:pPr>
      <w:r>
        <w:rPr>
          <w:sz w:val="22"/>
          <w:szCs w:val="22"/>
          <w:highlight w:val="white"/>
        </w:rPr>
        <w:t>4. Realizar el diligenciamiento de la hoja de tamizaje de Morbilidad Materna Extrema.</w:t>
      </w:r>
    </w:p>
    <w:p w14:paraId="608DEACE" w14:textId="77777777" w:rsidR="003B4DFE" w:rsidRDefault="009E6D93">
      <w:pPr>
        <w:shd w:val="clear" w:color="auto" w:fill="FFFFFF"/>
        <w:ind w:left="708"/>
        <w:jc w:val="both"/>
        <w:rPr>
          <w:sz w:val="22"/>
          <w:szCs w:val="22"/>
          <w:highlight w:val="white"/>
        </w:rPr>
      </w:pPr>
      <w:r>
        <w:rPr>
          <w:sz w:val="22"/>
          <w:szCs w:val="22"/>
          <w:highlight w:val="white"/>
        </w:rPr>
        <w:t xml:space="preserve"> </w:t>
      </w:r>
    </w:p>
    <w:p w14:paraId="12591D83" w14:textId="77777777" w:rsidR="003B4DFE" w:rsidRDefault="009E6D93">
      <w:pPr>
        <w:shd w:val="clear" w:color="auto" w:fill="FFFFFF"/>
        <w:ind w:left="708"/>
        <w:jc w:val="both"/>
        <w:rPr>
          <w:sz w:val="22"/>
          <w:szCs w:val="22"/>
          <w:highlight w:val="white"/>
        </w:rPr>
      </w:pPr>
      <w:r>
        <w:rPr>
          <w:sz w:val="22"/>
          <w:szCs w:val="22"/>
          <w:highlight w:val="white"/>
        </w:rPr>
        <w:t>5. Realizar el monitoreo trimestral de los indicadores de Morbilidad Materna Extrema.</w:t>
      </w:r>
    </w:p>
    <w:p w14:paraId="2BAC6FC9" w14:textId="77777777" w:rsidR="003B4DFE" w:rsidRDefault="009E6D93">
      <w:pPr>
        <w:shd w:val="clear" w:color="auto" w:fill="FFFFFF"/>
        <w:ind w:left="708"/>
        <w:jc w:val="both"/>
        <w:rPr>
          <w:sz w:val="22"/>
          <w:szCs w:val="22"/>
          <w:highlight w:val="white"/>
        </w:rPr>
      </w:pPr>
      <w:r>
        <w:rPr>
          <w:sz w:val="22"/>
          <w:szCs w:val="22"/>
          <w:highlight w:val="white"/>
        </w:rPr>
        <w:t xml:space="preserve"> </w:t>
      </w:r>
    </w:p>
    <w:p w14:paraId="7CDDC204" w14:textId="77777777" w:rsidR="003B4DFE" w:rsidRDefault="009E6D93">
      <w:pPr>
        <w:shd w:val="clear" w:color="auto" w:fill="FFFFFF"/>
        <w:ind w:left="708"/>
        <w:jc w:val="both"/>
        <w:rPr>
          <w:sz w:val="22"/>
          <w:szCs w:val="22"/>
          <w:highlight w:val="white"/>
        </w:rPr>
      </w:pPr>
      <w:r>
        <w:rPr>
          <w:sz w:val="22"/>
          <w:szCs w:val="22"/>
          <w:highlight w:val="white"/>
        </w:rPr>
        <w:t>6. Realizar de manera inmediata, la notificación de la muerte de la materna, a los sistemas de información establecidos para tal propósito, especialmente el sistema SIVIGILA.</w:t>
      </w:r>
    </w:p>
    <w:p w14:paraId="156A6281" w14:textId="77777777" w:rsidR="003B4DFE" w:rsidRDefault="009E6D93">
      <w:pPr>
        <w:shd w:val="clear" w:color="auto" w:fill="FFFFFF"/>
        <w:ind w:left="708"/>
        <w:jc w:val="both"/>
        <w:rPr>
          <w:sz w:val="22"/>
          <w:szCs w:val="22"/>
          <w:highlight w:val="white"/>
        </w:rPr>
      </w:pPr>
      <w:r>
        <w:rPr>
          <w:sz w:val="22"/>
          <w:szCs w:val="22"/>
          <w:highlight w:val="white"/>
        </w:rPr>
        <w:t xml:space="preserve"> </w:t>
      </w:r>
    </w:p>
    <w:p w14:paraId="420789B3" w14:textId="77777777" w:rsidR="003B4DFE" w:rsidRDefault="009E6D93">
      <w:pPr>
        <w:shd w:val="clear" w:color="auto" w:fill="FFFFFF"/>
        <w:ind w:left="708"/>
        <w:jc w:val="both"/>
        <w:rPr>
          <w:sz w:val="22"/>
          <w:szCs w:val="22"/>
          <w:highlight w:val="white"/>
        </w:rPr>
      </w:pPr>
      <w:r>
        <w:rPr>
          <w:sz w:val="22"/>
          <w:szCs w:val="22"/>
          <w:highlight w:val="white"/>
        </w:rPr>
        <w:t>7. En caso de presentarse una muerte materna el Gerente y/o Representante Legal de la IPS con los referentes en el tema, presentarán el análisis institucional del caso en el COVE convocado por el Ente Territorial y a partir de los hallazgos identificados, la totalidad de las instituciones involucradas en la atención de la materna, deben elaborar y presentar el plan de mejoramiento en los siguientes diez (10) días calendario posteriores a la realización del comité.</w:t>
      </w:r>
    </w:p>
    <w:p w14:paraId="0A4F7224" w14:textId="77777777" w:rsidR="003B4DFE" w:rsidRDefault="003B4DFE">
      <w:pPr>
        <w:pBdr>
          <w:top w:val="nil"/>
          <w:left w:val="nil"/>
          <w:bottom w:val="nil"/>
          <w:right w:val="nil"/>
          <w:between w:val="nil"/>
        </w:pBdr>
        <w:jc w:val="both"/>
        <w:rPr>
          <w:b/>
          <w:sz w:val="22"/>
          <w:szCs w:val="22"/>
        </w:rPr>
      </w:pPr>
    </w:p>
    <w:p w14:paraId="1940FD2D" w14:textId="77777777" w:rsidR="003B4DFE" w:rsidRDefault="009E6D93">
      <w:pPr>
        <w:numPr>
          <w:ilvl w:val="0"/>
          <w:numId w:val="7"/>
        </w:numPr>
        <w:pBdr>
          <w:top w:val="nil"/>
          <w:left w:val="nil"/>
          <w:bottom w:val="nil"/>
          <w:right w:val="nil"/>
          <w:between w:val="nil"/>
        </w:pBdr>
        <w:jc w:val="both"/>
        <w:rPr>
          <w:b/>
          <w:color w:val="000000"/>
          <w:sz w:val="22"/>
          <w:szCs w:val="22"/>
        </w:rPr>
      </w:pPr>
      <w:r>
        <w:rPr>
          <w:b/>
          <w:color w:val="000000"/>
          <w:sz w:val="22"/>
          <w:szCs w:val="22"/>
        </w:rPr>
        <w:t xml:space="preserve">JUSTIFICACIÓN </w:t>
      </w:r>
    </w:p>
    <w:p w14:paraId="5AE48A43" w14:textId="77777777" w:rsidR="003B4DFE" w:rsidRDefault="003B4DFE">
      <w:pPr>
        <w:jc w:val="both"/>
        <w:rPr>
          <w:b/>
          <w:color w:val="000000"/>
          <w:sz w:val="22"/>
          <w:szCs w:val="22"/>
        </w:rPr>
      </w:pPr>
    </w:p>
    <w:p w14:paraId="1AF51404" w14:textId="77777777" w:rsidR="003B4DFE" w:rsidRDefault="009E6D93">
      <w:pPr>
        <w:spacing w:after="5"/>
        <w:jc w:val="both"/>
        <w:rPr>
          <w:color w:val="000000"/>
          <w:sz w:val="22"/>
          <w:szCs w:val="22"/>
          <w:highlight w:val="white"/>
        </w:rPr>
      </w:pPr>
      <w:r>
        <w:rPr>
          <w:color w:val="000000"/>
          <w:sz w:val="22"/>
          <w:szCs w:val="22"/>
        </w:rPr>
        <w:t xml:space="preserve">El momento del embarazo marca un antes y un después en el núcleo familiar, especialmente para la mujer. Este momento no solo representa cambios físicos sino psicológicos y generalmente </w:t>
      </w:r>
      <w:r>
        <w:rPr>
          <w:color w:val="000000"/>
          <w:sz w:val="22"/>
          <w:szCs w:val="22"/>
          <w:highlight w:val="white"/>
        </w:rPr>
        <w:t xml:space="preserve">no suelen contemplarse los riesgos asociados a estos dentro de </w:t>
      </w:r>
      <w:r>
        <w:rPr>
          <w:color w:val="000000"/>
          <w:sz w:val="22"/>
          <w:szCs w:val="22"/>
        </w:rPr>
        <w:t xml:space="preserve">los </w:t>
      </w:r>
      <w:r>
        <w:rPr>
          <w:color w:val="000000"/>
          <w:sz w:val="22"/>
          <w:szCs w:val="22"/>
          <w:highlight w:val="white"/>
        </w:rPr>
        <w:t>planes de salud. Estudios como los realizados por el Instituto Nacional de la Excelencia para la Salud y la Atención del Reino Unido (NICE) (2014) revelan que “entre el 10% y el 20% de las mujeres desarrolla dificultades psicológicas durante el embarazo o los primeros años después del nacimiento del bebé”, dichas dificultades, pueden ser depresión y/o ansiedad</w:t>
      </w:r>
      <w:r>
        <w:rPr>
          <w:color w:val="000000"/>
          <w:sz w:val="22"/>
          <w:szCs w:val="22"/>
          <w:highlight w:val="white"/>
          <w:vertAlign w:val="superscript"/>
        </w:rPr>
        <w:footnoteReference w:id="2"/>
      </w:r>
      <w:r>
        <w:rPr>
          <w:color w:val="000000"/>
          <w:sz w:val="22"/>
          <w:szCs w:val="22"/>
          <w:highlight w:val="white"/>
        </w:rPr>
        <w:t xml:space="preserve">. Teniendo en cuenta este panorama, se evidencia la necesidad de una atención integral que ponga a consideración los riesgos tanto físicos como mentales de las mujeres en el Distrito Capital, durante y después del embarazo. </w:t>
      </w:r>
    </w:p>
    <w:p w14:paraId="50F40DEB" w14:textId="77777777" w:rsidR="003B4DFE" w:rsidRDefault="003B4DFE">
      <w:pPr>
        <w:spacing w:after="5"/>
        <w:jc w:val="both"/>
        <w:rPr>
          <w:color w:val="000000"/>
          <w:sz w:val="22"/>
          <w:szCs w:val="22"/>
          <w:highlight w:val="white"/>
        </w:rPr>
      </w:pPr>
    </w:p>
    <w:p w14:paraId="7E00C985" w14:textId="77777777" w:rsidR="003B4DFE" w:rsidRDefault="009E6D93">
      <w:pPr>
        <w:jc w:val="both"/>
        <w:rPr>
          <w:color w:val="000000"/>
          <w:sz w:val="22"/>
          <w:szCs w:val="22"/>
        </w:rPr>
      </w:pPr>
      <w:r>
        <w:rPr>
          <w:color w:val="000000"/>
          <w:sz w:val="22"/>
          <w:szCs w:val="22"/>
        </w:rPr>
        <w:t>Algunos autores se refieren al embarazo como un período “crítico” o de alta sensibilidad psicológica</w:t>
      </w:r>
      <w:r>
        <w:rPr>
          <w:color w:val="000000"/>
          <w:sz w:val="22"/>
          <w:szCs w:val="22"/>
          <w:vertAlign w:val="superscript"/>
        </w:rPr>
        <w:footnoteReference w:id="3"/>
      </w:r>
      <w:r>
        <w:rPr>
          <w:color w:val="000000"/>
          <w:sz w:val="22"/>
          <w:szCs w:val="22"/>
        </w:rPr>
        <w:t>. Este periodo, se caracteriza por ser complejo y estar lleno de cambios, haciendo que exista la necesidad de un apoyo emocional</w:t>
      </w:r>
      <w:r>
        <w:rPr>
          <w:color w:val="000000"/>
          <w:sz w:val="22"/>
          <w:szCs w:val="22"/>
          <w:vertAlign w:val="superscript"/>
        </w:rPr>
        <w:footnoteReference w:id="4"/>
      </w:r>
      <w:r>
        <w:rPr>
          <w:color w:val="000000"/>
          <w:sz w:val="22"/>
          <w:szCs w:val="22"/>
        </w:rPr>
        <w:t>. Pensando en esta necesidad,  hoy se quiere promover que la prestación y atención psicológica durante y después del embarazo sea obligatoria, procurando que este proceso no afecte la salud mental de las mujeres, especialmente de las más vulnerables, ya que “muchas mujeres no cuentan con una red de apoyo, lo que hace que se encuentren más aisladas y que tengan que enfrentar todos los cambios que trae el embarazo de forma solitaria”</w:t>
      </w:r>
      <w:r>
        <w:rPr>
          <w:color w:val="000000"/>
          <w:sz w:val="22"/>
          <w:szCs w:val="22"/>
          <w:vertAlign w:val="superscript"/>
        </w:rPr>
        <w:footnoteReference w:id="5"/>
      </w:r>
      <w:r>
        <w:rPr>
          <w:color w:val="000000"/>
          <w:sz w:val="22"/>
          <w:szCs w:val="22"/>
        </w:rPr>
        <w:t>, haciendo que la falta de apoyo psicosocial genere efectos negativos en la salud física de la persona, así como en su salud mental</w:t>
      </w:r>
      <w:r>
        <w:rPr>
          <w:color w:val="000000"/>
          <w:sz w:val="22"/>
          <w:szCs w:val="22"/>
          <w:vertAlign w:val="superscript"/>
        </w:rPr>
        <w:footnoteReference w:id="6"/>
      </w:r>
      <w:r>
        <w:rPr>
          <w:color w:val="000000"/>
          <w:sz w:val="22"/>
          <w:szCs w:val="22"/>
        </w:rPr>
        <w:t xml:space="preserve">. Varios estudios han sugerido que dichos efectos negativos pueden producir: abortos espontáneos, prematurez, preeclampsia, variaciones congénitas, entre otras consecuencias negativas que pondrían en riesgo la salud de la madre y de quien está por nacer </w:t>
      </w:r>
      <w:r>
        <w:rPr>
          <w:color w:val="000000"/>
          <w:sz w:val="22"/>
          <w:szCs w:val="22"/>
          <w:vertAlign w:val="superscript"/>
        </w:rPr>
        <w:footnoteReference w:id="7"/>
      </w:r>
      <w:r>
        <w:rPr>
          <w:color w:val="000000"/>
          <w:sz w:val="22"/>
          <w:szCs w:val="22"/>
        </w:rPr>
        <w:t>.</w:t>
      </w:r>
    </w:p>
    <w:p w14:paraId="161474D6" w14:textId="3D92E2FD" w:rsidR="640F004F" w:rsidRDefault="640F004F" w:rsidP="640F004F">
      <w:pPr>
        <w:jc w:val="both"/>
        <w:rPr>
          <w:color w:val="000000" w:themeColor="text1"/>
          <w:sz w:val="22"/>
          <w:szCs w:val="22"/>
        </w:rPr>
      </w:pPr>
    </w:p>
    <w:p w14:paraId="5DB632CB" w14:textId="7570560C" w:rsidR="37E32013" w:rsidRDefault="37E32013" w:rsidP="006E75B4">
      <w:pPr>
        <w:jc w:val="both"/>
        <w:rPr>
          <w:b/>
          <w:bCs/>
          <w:color w:val="000000" w:themeColor="text1"/>
          <w:sz w:val="22"/>
          <w:szCs w:val="22"/>
        </w:rPr>
      </w:pPr>
      <w:r w:rsidRPr="4DEEDB9B">
        <w:rPr>
          <w:color w:val="000000" w:themeColor="text1"/>
          <w:sz w:val="22"/>
          <w:szCs w:val="22"/>
        </w:rPr>
        <w:t>Según la Organización Panamericana de la Salud (OPS), la depresión continúa ocupando la principal posición entre los trastornos mentales, y es dos veces más frecuente en mujeres que</w:t>
      </w:r>
      <w:r w:rsidR="006E75B4">
        <w:rPr>
          <w:color w:val="000000" w:themeColor="text1"/>
          <w:sz w:val="22"/>
          <w:szCs w:val="22"/>
        </w:rPr>
        <w:t xml:space="preserve"> en</w:t>
      </w:r>
      <w:r w:rsidRPr="4DEEDB9B">
        <w:rPr>
          <w:color w:val="000000" w:themeColor="text1"/>
          <w:sz w:val="22"/>
          <w:szCs w:val="22"/>
        </w:rPr>
        <w:t xml:space="preserve"> hombres. Entre el 10 y </w:t>
      </w:r>
      <w:r w:rsidR="006E75B4">
        <w:rPr>
          <w:color w:val="000000" w:themeColor="text1"/>
          <w:sz w:val="22"/>
          <w:szCs w:val="22"/>
        </w:rPr>
        <w:t xml:space="preserve">el </w:t>
      </w:r>
      <w:r w:rsidRPr="4DEEDB9B">
        <w:rPr>
          <w:color w:val="000000" w:themeColor="text1"/>
          <w:sz w:val="22"/>
          <w:szCs w:val="22"/>
        </w:rPr>
        <w:t>15% de las mujeres en países industrializados y</w:t>
      </w:r>
      <w:r w:rsidRPr="006E75B4">
        <w:rPr>
          <w:color w:val="000000" w:themeColor="text1"/>
          <w:sz w:val="22"/>
          <w:szCs w:val="22"/>
        </w:rPr>
        <w:t xml:space="preserve"> </w:t>
      </w:r>
      <w:r w:rsidRPr="006E75B4">
        <w:rPr>
          <w:bCs/>
          <w:color w:val="000000" w:themeColor="text1"/>
          <w:sz w:val="22"/>
          <w:szCs w:val="22"/>
        </w:rPr>
        <w:t xml:space="preserve">entre </w:t>
      </w:r>
      <w:r w:rsidR="006E75B4" w:rsidRPr="006E75B4">
        <w:rPr>
          <w:bCs/>
          <w:color w:val="000000" w:themeColor="text1"/>
          <w:sz w:val="22"/>
          <w:szCs w:val="22"/>
        </w:rPr>
        <w:t xml:space="preserve">el </w:t>
      </w:r>
      <w:r w:rsidRPr="006E75B4">
        <w:rPr>
          <w:bCs/>
          <w:color w:val="000000" w:themeColor="text1"/>
          <w:sz w:val="22"/>
          <w:szCs w:val="22"/>
        </w:rPr>
        <w:t xml:space="preserve">20 y </w:t>
      </w:r>
      <w:r w:rsidR="006E75B4" w:rsidRPr="006E75B4">
        <w:rPr>
          <w:bCs/>
          <w:color w:val="000000" w:themeColor="text1"/>
          <w:sz w:val="22"/>
          <w:szCs w:val="22"/>
        </w:rPr>
        <w:t xml:space="preserve">el </w:t>
      </w:r>
      <w:r w:rsidRPr="006E75B4">
        <w:rPr>
          <w:bCs/>
          <w:color w:val="000000" w:themeColor="text1"/>
          <w:sz w:val="22"/>
          <w:szCs w:val="22"/>
        </w:rPr>
        <w:t>40% de las m</w:t>
      </w:r>
      <w:r w:rsidR="007A3405">
        <w:rPr>
          <w:bCs/>
          <w:color w:val="000000" w:themeColor="text1"/>
          <w:sz w:val="22"/>
          <w:szCs w:val="22"/>
        </w:rPr>
        <w:t xml:space="preserve">ujeres en países en desarrollo </w:t>
      </w:r>
      <w:r w:rsidRPr="006E75B4">
        <w:rPr>
          <w:bCs/>
          <w:color w:val="000000" w:themeColor="text1"/>
          <w:sz w:val="22"/>
          <w:szCs w:val="22"/>
        </w:rPr>
        <w:t>sufren de depresión durante el embarazo o el puerperio.</w:t>
      </w:r>
      <w:r w:rsidRPr="006E75B4">
        <w:rPr>
          <w:rStyle w:val="Refdenotaalpie"/>
          <w:bCs/>
          <w:color w:val="000000" w:themeColor="text1"/>
          <w:sz w:val="22"/>
          <w:szCs w:val="22"/>
        </w:rPr>
        <w:footnoteReference w:id="8"/>
      </w:r>
    </w:p>
    <w:p w14:paraId="2A7C8701" w14:textId="7CD03D55" w:rsidR="37E32013" w:rsidRDefault="15FF8B39" w:rsidP="007A3405">
      <w:pPr>
        <w:spacing w:before="240" w:after="240"/>
        <w:jc w:val="both"/>
        <w:rPr>
          <w:color w:val="000000" w:themeColor="text1"/>
          <w:sz w:val="22"/>
          <w:szCs w:val="22"/>
        </w:rPr>
      </w:pPr>
      <w:r w:rsidRPr="4DEEDB9B">
        <w:rPr>
          <w:color w:val="000000" w:themeColor="text1"/>
          <w:sz w:val="22"/>
          <w:szCs w:val="22"/>
        </w:rPr>
        <w:t>En cuanto al territorio nacional, según cifras entregadas por el Instituto Colombiano de Bienestar Familiar, durante los últimos meses del año 2022 se conoció que</w:t>
      </w:r>
      <w:r w:rsidRPr="007A3405">
        <w:rPr>
          <w:color w:val="000000" w:themeColor="text1"/>
          <w:sz w:val="22"/>
          <w:szCs w:val="22"/>
        </w:rPr>
        <w:t xml:space="preserve"> </w:t>
      </w:r>
      <w:r w:rsidRPr="007A3405">
        <w:rPr>
          <w:bCs/>
          <w:color w:val="000000" w:themeColor="text1"/>
          <w:sz w:val="22"/>
          <w:szCs w:val="22"/>
        </w:rPr>
        <w:t xml:space="preserve">al menos </w:t>
      </w:r>
      <w:r w:rsidR="00277D91" w:rsidRPr="007A3405">
        <w:rPr>
          <w:bCs/>
          <w:color w:val="000000" w:themeColor="text1"/>
          <w:sz w:val="22"/>
          <w:szCs w:val="22"/>
        </w:rPr>
        <w:t xml:space="preserve">entre </w:t>
      </w:r>
      <w:r w:rsidRPr="007A3405">
        <w:rPr>
          <w:bCs/>
          <w:color w:val="000000" w:themeColor="text1"/>
          <w:sz w:val="22"/>
          <w:szCs w:val="22"/>
        </w:rPr>
        <w:t xml:space="preserve">10 </w:t>
      </w:r>
      <w:r w:rsidR="00277D91" w:rsidRPr="007A3405">
        <w:rPr>
          <w:bCs/>
          <w:color w:val="000000" w:themeColor="text1"/>
          <w:sz w:val="22"/>
          <w:szCs w:val="22"/>
        </w:rPr>
        <w:t>y</w:t>
      </w:r>
      <w:r w:rsidRPr="007A3405">
        <w:rPr>
          <w:bCs/>
          <w:color w:val="000000" w:themeColor="text1"/>
          <w:sz w:val="22"/>
          <w:szCs w:val="22"/>
        </w:rPr>
        <w:t xml:space="preserve"> 15 de cada 100 mujeres que están en período de gestación, padecen ansiedad o depresión</w:t>
      </w:r>
      <w:r w:rsidR="37E32013" w:rsidRPr="4DEEDB9B">
        <w:rPr>
          <w:rStyle w:val="Refdenotaalpie"/>
          <w:b/>
          <w:bCs/>
          <w:color w:val="000000" w:themeColor="text1"/>
          <w:sz w:val="22"/>
          <w:szCs w:val="22"/>
        </w:rPr>
        <w:footnoteReference w:id="9"/>
      </w:r>
      <w:r w:rsidR="00BC1EAE">
        <w:rPr>
          <w:bCs/>
          <w:color w:val="000000" w:themeColor="text1"/>
          <w:sz w:val="22"/>
          <w:szCs w:val="22"/>
        </w:rPr>
        <w:t>.</w:t>
      </w:r>
      <w:r w:rsidRPr="4DEEDB9B">
        <w:rPr>
          <w:b/>
          <w:bCs/>
          <w:color w:val="000000" w:themeColor="text1"/>
          <w:sz w:val="22"/>
          <w:szCs w:val="22"/>
        </w:rPr>
        <w:t xml:space="preserve"> </w:t>
      </w:r>
      <w:r w:rsidRPr="4DEEDB9B">
        <w:rPr>
          <w:color w:val="000000" w:themeColor="text1"/>
          <w:sz w:val="22"/>
          <w:szCs w:val="22"/>
        </w:rPr>
        <w:t>Así mismo, un estudio realizado en Antioquia durante la pandemia de COVID-19 encontró que una proporción significativa de mujeres embarazadas presentaba riesgo de depresión y preocupaciones relacionadas con su estado gestacional</w:t>
      </w:r>
      <w:r w:rsidR="37E32013" w:rsidRPr="4DEEDB9B">
        <w:rPr>
          <w:rStyle w:val="Refdenotaalpie"/>
          <w:color w:val="000000" w:themeColor="text1"/>
          <w:sz w:val="22"/>
          <w:szCs w:val="22"/>
        </w:rPr>
        <w:footnoteReference w:id="10"/>
      </w:r>
      <w:r w:rsidR="00363C32">
        <w:rPr>
          <w:color w:val="000000" w:themeColor="text1"/>
          <w:sz w:val="22"/>
          <w:szCs w:val="22"/>
        </w:rPr>
        <w:t>,</w:t>
      </w:r>
      <w:r w:rsidRPr="4DEEDB9B">
        <w:rPr>
          <w:color w:val="000000" w:themeColor="text1"/>
          <w:sz w:val="22"/>
          <w:szCs w:val="22"/>
        </w:rPr>
        <w:t xml:space="preserve"> </w:t>
      </w:r>
      <w:r w:rsidR="00363C32">
        <w:rPr>
          <w:color w:val="000000" w:themeColor="text1"/>
          <w:sz w:val="22"/>
          <w:szCs w:val="22"/>
        </w:rPr>
        <w:t>por lo que e</w:t>
      </w:r>
      <w:r w:rsidRPr="4DEEDB9B">
        <w:rPr>
          <w:color w:val="000000" w:themeColor="text1"/>
          <w:sz w:val="22"/>
          <w:szCs w:val="22"/>
        </w:rPr>
        <w:t>stos hallazgos subrayan la importancia de monitorear la salud mental de las gestantes.</w:t>
      </w:r>
    </w:p>
    <w:p w14:paraId="0D106B61" w14:textId="6B3B5DF0" w:rsidR="37E32013" w:rsidRDefault="30EF05F4" w:rsidP="007A3405">
      <w:pPr>
        <w:spacing w:before="240" w:after="240"/>
        <w:jc w:val="both"/>
        <w:rPr>
          <w:b/>
          <w:bCs/>
          <w:color w:val="000000" w:themeColor="text1"/>
          <w:sz w:val="22"/>
          <w:szCs w:val="22"/>
        </w:rPr>
      </w:pPr>
      <w:r w:rsidRPr="4DEEDB9B">
        <w:rPr>
          <w:color w:val="000000" w:themeColor="text1"/>
          <w:sz w:val="22"/>
          <w:szCs w:val="22"/>
        </w:rPr>
        <w:t>La depresión posparto es otro trastorno común que afecta a las madres en Colombia. Según datos del</w:t>
      </w:r>
      <w:r w:rsidRPr="4DEEDB9B">
        <w:rPr>
          <w:b/>
          <w:bCs/>
          <w:color w:val="000000" w:themeColor="text1"/>
          <w:sz w:val="22"/>
          <w:szCs w:val="22"/>
        </w:rPr>
        <w:t xml:space="preserve"> </w:t>
      </w:r>
      <w:r w:rsidRPr="00363C32">
        <w:rPr>
          <w:bCs/>
          <w:color w:val="000000" w:themeColor="text1"/>
          <w:sz w:val="22"/>
          <w:szCs w:val="22"/>
        </w:rPr>
        <w:t>Ministerio de Salud y Protección Social, se estima que alrededor del 20% de las mujeres que dan a luz en el país experimentan síntomas de depresión posparto.</w:t>
      </w:r>
      <w:r w:rsidR="37E32013" w:rsidRPr="00363C32">
        <w:rPr>
          <w:rStyle w:val="Refdenotaalpie"/>
          <w:bCs/>
          <w:color w:val="000000" w:themeColor="text1"/>
          <w:sz w:val="22"/>
          <w:szCs w:val="22"/>
        </w:rPr>
        <w:footnoteReference w:id="11"/>
      </w:r>
    </w:p>
    <w:p w14:paraId="3EE6C3CB" w14:textId="43E7B955" w:rsidR="37E32013" w:rsidRDefault="153F1109" w:rsidP="007A3405">
      <w:pPr>
        <w:jc w:val="both"/>
        <w:rPr>
          <w:b/>
          <w:bCs/>
          <w:color w:val="000000" w:themeColor="text1"/>
          <w:sz w:val="22"/>
          <w:szCs w:val="22"/>
        </w:rPr>
      </w:pPr>
      <w:r w:rsidRPr="4DEEDB9B">
        <w:rPr>
          <w:color w:val="000000" w:themeColor="text1"/>
          <w:sz w:val="22"/>
          <w:szCs w:val="22"/>
        </w:rPr>
        <w:t xml:space="preserve">Conforme a lo anterior, la salud mental es un estado de bienestar emocional que </w:t>
      </w:r>
      <w:r w:rsidR="00277D91">
        <w:rPr>
          <w:color w:val="000000" w:themeColor="text1"/>
          <w:sz w:val="22"/>
          <w:szCs w:val="22"/>
        </w:rPr>
        <w:t>necesita especial atención</w:t>
      </w:r>
      <w:r w:rsidRPr="4DEEDB9B">
        <w:rPr>
          <w:color w:val="000000" w:themeColor="text1"/>
          <w:sz w:val="22"/>
          <w:szCs w:val="22"/>
        </w:rPr>
        <w:t xml:space="preserve">, </w:t>
      </w:r>
      <w:r w:rsidR="00277D91">
        <w:rPr>
          <w:color w:val="000000" w:themeColor="text1"/>
          <w:sz w:val="22"/>
          <w:szCs w:val="22"/>
        </w:rPr>
        <w:t xml:space="preserve">pues </w:t>
      </w:r>
      <w:r w:rsidRPr="4DEEDB9B">
        <w:rPr>
          <w:color w:val="000000" w:themeColor="text1"/>
          <w:sz w:val="22"/>
          <w:szCs w:val="22"/>
        </w:rPr>
        <w:t>la etapa materna es un componente</w:t>
      </w:r>
      <w:r w:rsidR="00457FD1">
        <w:rPr>
          <w:color w:val="000000" w:themeColor="text1"/>
          <w:sz w:val="22"/>
          <w:szCs w:val="22"/>
        </w:rPr>
        <w:t xml:space="preserve"> clave</w:t>
      </w:r>
      <w:r w:rsidRPr="4DEEDB9B">
        <w:rPr>
          <w:color w:val="000000" w:themeColor="text1"/>
          <w:sz w:val="22"/>
          <w:szCs w:val="22"/>
        </w:rPr>
        <w:t xml:space="preserve"> para el bienestar de las mujeres en estado de gestación y en el posparto. En Colombia, diversos estudios que se han realizado han evidenciado la prevalencia de trastornos en mujeres gestantes como la depresión y la ansiedad, resaltando la necesidad de atención y apoyo adecuado.</w:t>
      </w:r>
    </w:p>
    <w:p w14:paraId="2C681611" w14:textId="77777777" w:rsidR="00457FD1" w:rsidRDefault="00457FD1">
      <w:pPr>
        <w:jc w:val="both"/>
        <w:rPr>
          <w:color w:val="000000"/>
          <w:sz w:val="22"/>
          <w:szCs w:val="22"/>
        </w:rPr>
      </w:pPr>
    </w:p>
    <w:p w14:paraId="0E53DB13" w14:textId="2BBDD383" w:rsidR="003B4DFE" w:rsidRDefault="009E6D93">
      <w:pPr>
        <w:jc w:val="both"/>
        <w:rPr>
          <w:color w:val="000000"/>
          <w:sz w:val="22"/>
          <w:szCs w:val="22"/>
        </w:rPr>
      </w:pPr>
      <w:r>
        <w:rPr>
          <w:color w:val="000000"/>
          <w:sz w:val="22"/>
          <w:szCs w:val="22"/>
        </w:rPr>
        <w:t xml:space="preserve">En cuanto a la atención a madres gestantes en Colombia, especialmente en el Distrito Capital, los gobiernos se han encargado de fortalecer y brindar canales de atención a la hora de realizarse los controles y del parto, pero es evidente que el tema de la salud mental debe continuar robusteciéndose. </w:t>
      </w:r>
    </w:p>
    <w:p w14:paraId="007DCDA8" w14:textId="77777777" w:rsidR="003B4DFE" w:rsidRDefault="003B4DFE">
      <w:pPr>
        <w:jc w:val="both"/>
        <w:rPr>
          <w:color w:val="000000"/>
          <w:sz w:val="22"/>
          <w:szCs w:val="22"/>
        </w:rPr>
      </w:pPr>
    </w:p>
    <w:p w14:paraId="0DF3418B" w14:textId="77777777" w:rsidR="003B4DFE" w:rsidRDefault="009E6D93">
      <w:pPr>
        <w:jc w:val="both"/>
        <w:rPr>
          <w:color w:val="000000"/>
          <w:sz w:val="22"/>
          <w:szCs w:val="22"/>
        </w:rPr>
      </w:pPr>
      <w:r>
        <w:rPr>
          <w:color w:val="000000"/>
          <w:sz w:val="22"/>
          <w:szCs w:val="22"/>
        </w:rPr>
        <w:t xml:space="preserve">En la actualidad no es posible identificar dentro de las atenciones a mujeres por salud mental, cuáles de estas se encuentran directamente relacionadas con afectaciones mentales como consecuencia de la gestación o el periodo postparto, tal como lo señaló la Secretaría Distrital de Salud en comunicación radicada bajo el No. 2023EE2814 de 12 de enero de 2023, como respuesta a la solicitud de información enviada desde mi oficina. </w:t>
      </w:r>
    </w:p>
    <w:p w14:paraId="450EA2D7" w14:textId="77777777" w:rsidR="003B4DFE" w:rsidRDefault="003B4DFE">
      <w:pPr>
        <w:jc w:val="both"/>
        <w:rPr>
          <w:color w:val="000000"/>
          <w:sz w:val="22"/>
          <w:szCs w:val="22"/>
        </w:rPr>
      </w:pPr>
    </w:p>
    <w:p w14:paraId="52FC1934" w14:textId="77777777" w:rsidR="003B4DFE" w:rsidRDefault="009E6D93">
      <w:pPr>
        <w:jc w:val="both"/>
        <w:rPr>
          <w:color w:val="000000"/>
          <w:sz w:val="22"/>
          <w:szCs w:val="22"/>
          <w:highlight w:val="white"/>
        </w:rPr>
      </w:pPr>
      <w:r>
        <w:rPr>
          <w:color w:val="000000"/>
          <w:sz w:val="22"/>
          <w:szCs w:val="22"/>
          <w:highlight w:val="white"/>
        </w:rPr>
        <w:t xml:space="preserve">En el mismo sentido la Secretaría Distrital de Salud menciona que, aunque no es posible establecer esta cifra del número de casos de atención mental con ocasión del periodo de gestación o el periodo postparto, lo que sí se puede es realizar un cruce de datos que permite identificar en un periodo de tiempo cuántos de los pacientes atendidos por alguna afectación de salud mental se encontraban en periodo de gestación. </w:t>
      </w:r>
    </w:p>
    <w:p w14:paraId="3DD355C9" w14:textId="77777777" w:rsidR="003B4DFE" w:rsidRDefault="003B4DFE">
      <w:pPr>
        <w:jc w:val="both"/>
        <w:rPr>
          <w:color w:val="000000"/>
          <w:sz w:val="22"/>
          <w:szCs w:val="22"/>
          <w:highlight w:val="white"/>
        </w:rPr>
      </w:pPr>
    </w:p>
    <w:p w14:paraId="7F6C1C45" w14:textId="77777777" w:rsidR="003B4DFE" w:rsidRDefault="009E6D93">
      <w:pPr>
        <w:jc w:val="both"/>
        <w:rPr>
          <w:color w:val="000000"/>
          <w:sz w:val="22"/>
          <w:szCs w:val="22"/>
          <w:highlight w:val="white"/>
        </w:rPr>
      </w:pPr>
      <w:r>
        <w:rPr>
          <w:color w:val="000000"/>
          <w:sz w:val="22"/>
          <w:szCs w:val="22"/>
          <w:highlight w:val="white"/>
        </w:rPr>
        <w:t>Así, del cruce de datos anteriormente mencionado se obtienen las siguientes cifras relacionadas en la tabla 1:</w:t>
      </w:r>
    </w:p>
    <w:p w14:paraId="1A81F0B1" w14:textId="77777777" w:rsidR="003B4DFE" w:rsidRDefault="003B4DFE">
      <w:pPr>
        <w:jc w:val="both"/>
        <w:rPr>
          <w:sz w:val="22"/>
          <w:szCs w:val="22"/>
          <w:highlight w:val="white"/>
        </w:rPr>
      </w:pPr>
    </w:p>
    <w:p w14:paraId="717AAFBA" w14:textId="30235CF9" w:rsidR="003B4DFE" w:rsidRDefault="003B4DFE">
      <w:pPr>
        <w:jc w:val="both"/>
        <w:rPr>
          <w:color w:val="000000"/>
          <w:sz w:val="22"/>
          <w:szCs w:val="22"/>
          <w:highlight w:val="white"/>
        </w:rPr>
      </w:pPr>
    </w:p>
    <w:p w14:paraId="57B28B48" w14:textId="1DE77D6E" w:rsidR="00457FD1" w:rsidRDefault="00457FD1">
      <w:pPr>
        <w:jc w:val="both"/>
        <w:rPr>
          <w:color w:val="000000"/>
          <w:sz w:val="22"/>
          <w:szCs w:val="22"/>
          <w:highlight w:val="white"/>
        </w:rPr>
      </w:pPr>
    </w:p>
    <w:p w14:paraId="54C3AB3E" w14:textId="718D51E5" w:rsidR="00457FD1" w:rsidRDefault="00457FD1">
      <w:pPr>
        <w:jc w:val="both"/>
        <w:rPr>
          <w:color w:val="000000"/>
          <w:sz w:val="22"/>
          <w:szCs w:val="22"/>
          <w:highlight w:val="white"/>
        </w:rPr>
      </w:pPr>
    </w:p>
    <w:p w14:paraId="558BBF5E" w14:textId="77777777" w:rsidR="00457FD1" w:rsidRDefault="00457FD1">
      <w:pPr>
        <w:jc w:val="both"/>
        <w:rPr>
          <w:color w:val="000000"/>
          <w:sz w:val="22"/>
          <w:szCs w:val="22"/>
          <w:highlight w:val="white"/>
        </w:rPr>
      </w:pPr>
    </w:p>
    <w:p w14:paraId="5647DC9E" w14:textId="77777777" w:rsidR="00457FD1" w:rsidRDefault="00457FD1">
      <w:pPr>
        <w:jc w:val="both"/>
        <w:rPr>
          <w:color w:val="000000"/>
          <w:sz w:val="22"/>
          <w:szCs w:val="22"/>
          <w:highlight w:val="white"/>
        </w:rPr>
      </w:pPr>
    </w:p>
    <w:p w14:paraId="4FFD6807" w14:textId="77777777" w:rsidR="003B4DFE" w:rsidRDefault="009E6D93">
      <w:pPr>
        <w:jc w:val="both"/>
        <w:rPr>
          <w:b/>
          <w:color w:val="000000"/>
          <w:sz w:val="22"/>
          <w:szCs w:val="22"/>
          <w:highlight w:val="white"/>
        </w:rPr>
      </w:pPr>
      <w:r>
        <w:rPr>
          <w:b/>
          <w:color w:val="000000"/>
          <w:sz w:val="22"/>
          <w:szCs w:val="22"/>
          <w:highlight w:val="white"/>
        </w:rPr>
        <w:t xml:space="preserve">Tabla 1 </w:t>
      </w:r>
    </w:p>
    <w:p w14:paraId="56EE48EE" w14:textId="77777777" w:rsidR="003B4DFE" w:rsidRDefault="003B4DFE">
      <w:pPr>
        <w:jc w:val="both"/>
        <w:rPr>
          <w:color w:val="000000"/>
          <w:sz w:val="22"/>
          <w:szCs w:val="22"/>
          <w:highlight w:val="white"/>
        </w:rPr>
      </w:pPr>
    </w:p>
    <w:p w14:paraId="06657BEC" w14:textId="77777777" w:rsidR="003B4DFE" w:rsidRDefault="009E6D93">
      <w:pPr>
        <w:jc w:val="both"/>
        <w:rPr>
          <w:i/>
          <w:color w:val="000000"/>
          <w:sz w:val="22"/>
          <w:szCs w:val="22"/>
          <w:highlight w:val="white"/>
        </w:rPr>
      </w:pPr>
      <w:r>
        <w:rPr>
          <w:i/>
          <w:color w:val="000000"/>
          <w:sz w:val="22"/>
          <w:szCs w:val="22"/>
          <w:highlight w:val="white"/>
        </w:rPr>
        <w:t xml:space="preserve">Atenciones realizadas por afecciones de la salud mental a personas durante el periodo de gestación o durante el periodo postparto 2019 – 2022 </w:t>
      </w:r>
    </w:p>
    <w:p w14:paraId="2908EB2C" w14:textId="77777777" w:rsidR="003B4DFE" w:rsidRDefault="003B4DFE">
      <w:pPr>
        <w:jc w:val="both"/>
        <w:rPr>
          <w:color w:val="000000"/>
          <w:sz w:val="22"/>
          <w:szCs w:val="22"/>
          <w:highlight w:val="white"/>
        </w:rPr>
      </w:pPr>
    </w:p>
    <w:tbl>
      <w:tblPr>
        <w:tblStyle w:val="a0"/>
        <w:tblW w:w="8830" w:type="dxa"/>
        <w:jc w:val="center"/>
        <w:tblInd w:w="0" w:type="dxa"/>
        <w:tblBorders>
          <w:top w:val="single" w:sz="4" w:space="0" w:color="666666"/>
          <w:left w:val="single" w:sz="4" w:space="0" w:color="000000"/>
          <w:bottom w:val="single" w:sz="4" w:space="0" w:color="666666"/>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1187"/>
        <w:gridCol w:w="1305"/>
        <w:gridCol w:w="1253"/>
        <w:gridCol w:w="1305"/>
        <w:gridCol w:w="1245"/>
        <w:gridCol w:w="1305"/>
        <w:gridCol w:w="1230"/>
      </w:tblGrid>
      <w:tr w:rsidR="003B4DFE" w14:paraId="5616D0F6" w14:textId="77777777">
        <w:trPr>
          <w:jc w:val="center"/>
        </w:trPr>
        <w:tc>
          <w:tcPr>
            <w:tcW w:w="1187" w:type="dxa"/>
            <w:vMerge w:val="restart"/>
            <w:vAlign w:val="center"/>
          </w:tcPr>
          <w:p w14:paraId="2F2EDEE0" w14:textId="77777777" w:rsidR="003B4DFE" w:rsidRDefault="009E6D93">
            <w:pPr>
              <w:jc w:val="center"/>
              <w:rPr>
                <w:b/>
                <w:color w:val="000000"/>
                <w:sz w:val="20"/>
                <w:szCs w:val="20"/>
                <w:highlight w:val="white"/>
              </w:rPr>
            </w:pPr>
            <w:r>
              <w:rPr>
                <w:b/>
                <w:color w:val="000000"/>
                <w:sz w:val="20"/>
                <w:szCs w:val="20"/>
                <w:highlight w:val="white"/>
              </w:rPr>
              <w:t>AÑO</w:t>
            </w:r>
          </w:p>
        </w:tc>
        <w:tc>
          <w:tcPr>
            <w:tcW w:w="2558" w:type="dxa"/>
            <w:gridSpan w:val="2"/>
            <w:vAlign w:val="center"/>
          </w:tcPr>
          <w:p w14:paraId="3D6995F0" w14:textId="77777777" w:rsidR="003B4DFE" w:rsidRDefault="009E6D93">
            <w:pPr>
              <w:jc w:val="center"/>
              <w:rPr>
                <w:b/>
                <w:color w:val="000000"/>
                <w:sz w:val="20"/>
                <w:szCs w:val="20"/>
                <w:highlight w:val="white"/>
              </w:rPr>
            </w:pPr>
            <w:r>
              <w:rPr>
                <w:b/>
                <w:color w:val="000000"/>
                <w:sz w:val="20"/>
                <w:szCs w:val="20"/>
                <w:highlight w:val="white"/>
              </w:rPr>
              <w:t>1 semestre</w:t>
            </w:r>
          </w:p>
        </w:tc>
        <w:tc>
          <w:tcPr>
            <w:tcW w:w="2550" w:type="dxa"/>
            <w:gridSpan w:val="2"/>
            <w:vAlign w:val="center"/>
          </w:tcPr>
          <w:p w14:paraId="55D1DAA8" w14:textId="77777777" w:rsidR="003B4DFE" w:rsidRDefault="009E6D93">
            <w:pPr>
              <w:jc w:val="center"/>
              <w:rPr>
                <w:b/>
                <w:color w:val="000000"/>
                <w:sz w:val="20"/>
                <w:szCs w:val="20"/>
                <w:highlight w:val="white"/>
              </w:rPr>
            </w:pPr>
            <w:r>
              <w:rPr>
                <w:b/>
                <w:color w:val="000000"/>
                <w:sz w:val="20"/>
                <w:szCs w:val="20"/>
                <w:highlight w:val="white"/>
              </w:rPr>
              <w:t>2 semestre</w:t>
            </w:r>
          </w:p>
        </w:tc>
        <w:tc>
          <w:tcPr>
            <w:tcW w:w="2535" w:type="dxa"/>
            <w:gridSpan w:val="2"/>
            <w:vAlign w:val="center"/>
          </w:tcPr>
          <w:p w14:paraId="4BF53985" w14:textId="77777777" w:rsidR="003B4DFE" w:rsidRDefault="009E6D93">
            <w:pPr>
              <w:jc w:val="center"/>
              <w:rPr>
                <w:b/>
                <w:color w:val="000000"/>
                <w:sz w:val="20"/>
                <w:szCs w:val="20"/>
                <w:highlight w:val="white"/>
              </w:rPr>
            </w:pPr>
            <w:r>
              <w:rPr>
                <w:b/>
                <w:color w:val="000000"/>
                <w:sz w:val="20"/>
                <w:szCs w:val="20"/>
                <w:highlight w:val="white"/>
              </w:rPr>
              <w:t>TOTAL</w:t>
            </w:r>
          </w:p>
          <w:p w14:paraId="121FD38A" w14:textId="77777777" w:rsidR="003B4DFE" w:rsidRDefault="003B4DFE">
            <w:pPr>
              <w:jc w:val="center"/>
              <w:rPr>
                <w:b/>
                <w:color w:val="000000"/>
                <w:sz w:val="20"/>
                <w:szCs w:val="20"/>
                <w:highlight w:val="white"/>
              </w:rPr>
            </w:pPr>
          </w:p>
        </w:tc>
      </w:tr>
      <w:tr w:rsidR="003B4DFE" w14:paraId="62DD453F" w14:textId="77777777">
        <w:trPr>
          <w:jc w:val="center"/>
        </w:trPr>
        <w:tc>
          <w:tcPr>
            <w:tcW w:w="1187" w:type="dxa"/>
            <w:vMerge/>
            <w:vAlign w:val="center"/>
          </w:tcPr>
          <w:p w14:paraId="1FE2DD96" w14:textId="77777777" w:rsidR="003B4DFE" w:rsidRDefault="003B4DFE">
            <w:pPr>
              <w:widowControl w:val="0"/>
              <w:pBdr>
                <w:top w:val="nil"/>
                <w:left w:val="nil"/>
                <w:bottom w:val="nil"/>
                <w:right w:val="nil"/>
                <w:between w:val="nil"/>
              </w:pBdr>
              <w:spacing w:line="276" w:lineRule="auto"/>
              <w:rPr>
                <w:b/>
                <w:color w:val="000000"/>
                <w:sz w:val="20"/>
                <w:szCs w:val="20"/>
                <w:highlight w:val="white"/>
              </w:rPr>
            </w:pPr>
          </w:p>
        </w:tc>
        <w:tc>
          <w:tcPr>
            <w:tcW w:w="1305" w:type="dxa"/>
            <w:vAlign w:val="center"/>
          </w:tcPr>
          <w:p w14:paraId="2DAFAACB" w14:textId="77777777" w:rsidR="003B4DFE" w:rsidRDefault="009E6D93">
            <w:pPr>
              <w:jc w:val="both"/>
              <w:rPr>
                <w:b/>
                <w:color w:val="000000"/>
                <w:sz w:val="20"/>
                <w:szCs w:val="20"/>
                <w:highlight w:val="white"/>
              </w:rPr>
            </w:pPr>
            <w:r>
              <w:rPr>
                <w:b/>
                <w:color w:val="000000"/>
                <w:sz w:val="20"/>
                <w:szCs w:val="20"/>
                <w:highlight w:val="white"/>
              </w:rPr>
              <w:t>Atenciones</w:t>
            </w:r>
          </w:p>
        </w:tc>
        <w:tc>
          <w:tcPr>
            <w:tcW w:w="1253" w:type="dxa"/>
            <w:vAlign w:val="center"/>
          </w:tcPr>
          <w:p w14:paraId="4B6230E0" w14:textId="77777777" w:rsidR="003B4DFE" w:rsidRDefault="009E6D93">
            <w:pPr>
              <w:jc w:val="both"/>
              <w:rPr>
                <w:b/>
                <w:color w:val="000000"/>
                <w:sz w:val="20"/>
                <w:szCs w:val="20"/>
                <w:highlight w:val="white"/>
              </w:rPr>
            </w:pPr>
            <w:r>
              <w:rPr>
                <w:b/>
                <w:color w:val="000000"/>
                <w:sz w:val="20"/>
                <w:szCs w:val="20"/>
                <w:highlight w:val="white"/>
              </w:rPr>
              <w:t>Individuos</w:t>
            </w:r>
          </w:p>
        </w:tc>
        <w:tc>
          <w:tcPr>
            <w:tcW w:w="1305" w:type="dxa"/>
            <w:vAlign w:val="center"/>
          </w:tcPr>
          <w:p w14:paraId="75742341" w14:textId="77777777" w:rsidR="003B4DFE" w:rsidRDefault="009E6D93">
            <w:pPr>
              <w:jc w:val="both"/>
              <w:rPr>
                <w:b/>
                <w:color w:val="000000"/>
                <w:sz w:val="20"/>
                <w:szCs w:val="20"/>
                <w:highlight w:val="white"/>
              </w:rPr>
            </w:pPr>
            <w:r>
              <w:rPr>
                <w:b/>
                <w:color w:val="000000"/>
                <w:sz w:val="20"/>
                <w:szCs w:val="20"/>
                <w:highlight w:val="white"/>
              </w:rPr>
              <w:t>Atenciones</w:t>
            </w:r>
          </w:p>
        </w:tc>
        <w:tc>
          <w:tcPr>
            <w:tcW w:w="1245" w:type="dxa"/>
            <w:vAlign w:val="center"/>
          </w:tcPr>
          <w:p w14:paraId="6DE65951" w14:textId="77777777" w:rsidR="003B4DFE" w:rsidRDefault="009E6D93">
            <w:pPr>
              <w:jc w:val="both"/>
              <w:rPr>
                <w:b/>
                <w:color w:val="000000"/>
                <w:sz w:val="20"/>
                <w:szCs w:val="20"/>
                <w:highlight w:val="white"/>
              </w:rPr>
            </w:pPr>
            <w:r>
              <w:rPr>
                <w:b/>
                <w:color w:val="000000"/>
                <w:sz w:val="20"/>
                <w:szCs w:val="20"/>
                <w:highlight w:val="white"/>
              </w:rPr>
              <w:t>Individuos</w:t>
            </w:r>
          </w:p>
        </w:tc>
        <w:tc>
          <w:tcPr>
            <w:tcW w:w="1305" w:type="dxa"/>
            <w:vAlign w:val="center"/>
          </w:tcPr>
          <w:p w14:paraId="198F7B62" w14:textId="77777777" w:rsidR="003B4DFE" w:rsidRDefault="009E6D93">
            <w:pPr>
              <w:jc w:val="both"/>
              <w:rPr>
                <w:b/>
                <w:color w:val="000000"/>
                <w:sz w:val="20"/>
                <w:szCs w:val="20"/>
                <w:highlight w:val="white"/>
              </w:rPr>
            </w:pPr>
            <w:r>
              <w:rPr>
                <w:b/>
                <w:color w:val="000000"/>
                <w:sz w:val="20"/>
                <w:szCs w:val="20"/>
                <w:highlight w:val="white"/>
              </w:rPr>
              <w:t>Atenciones</w:t>
            </w:r>
          </w:p>
        </w:tc>
        <w:tc>
          <w:tcPr>
            <w:tcW w:w="1230" w:type="dxa"/>
            <w:vAlign w:val="center"/>
          </w:tcPr>
          <w:p w14:paraId="27357532" w14:textId="77777777" w:rsidR="003B4DFE" w:rsidRDefault="003B4DFE">
            <w:pPr>
              <w:jc w:val="both"/>
              <w:rPr>
                <w:b/>
                <w:color w:val="000000"/>
                <w:sz w:val="20"/>
                <w:szCs w:val="20"/>
                <w:highlight w:val="white"/>
              </w:rPr>
            </w:pPr>
          </w:p>
          <w:p w14:paraId="18258CA0" w14:textId="77777777" w:rsidR="003B4DFE" w:rsidRDefault="009E6D93">
            <w:pPr>
              <w:jc w:val="both"/>
              <w:rPr>
                <w:b/>
                <w:color w:val="000000"/>
                <w:sz w:val="20"/>
                <w:szCs w:val="20"/>
                <w:highlight w:val="white"/>
              </w:rPr>
            </w:pPr>
            <w:r>
              <w:rPr>
                <w:b/>
                <w:color w:val="000000"/>
                <w:sz w:val="20"/>
                <w:szCs w:val="20"/>
                <w:highlight w:val="white"/>
              </w:rPr>
              <w:t>Individuos</w:t>
            </w:r>
          </w:p>
          <w:p w14:paraId="07F023C8" w14:textId="77777777" w:rsidR="003B4DFE" w:rsidRDefault="003B4DFE">
            <w:pPr>
              <w:jc w:val="both"/>
              <w:rPr>
                <w:b/>
                <w:color w:val="000000"/>
                <w:sz w:val="20"/>
                <w:szCs w:val="20"/>
                <w:highlight w:val="white"/>
              </w:rPr>
            </w:pPr>
          </w:p>
        </w:tc>
      </w:tr>
      <w:tr w:rsidR="003B4DFE" w14:paraId="4D0BD507" w14:textId="77777777">
        <w:trPr>
          <w:jc w:val="center"/>
        </w:trPr>
        <w:tc>
          <w:tcPr>
            <w:tcW w:w="1187" w:type="dxa"/>
            <w:vAlign w:val="center"/>
          </w:tcPr>
          <w:p w14:paraId="650B5A13" w14:textId="77777777" w:rsidR="003B4DFE" w:rsidRDefault="009E6D93">
            <w:pPr>
              <w:jc w:val="center"/>
              <w:rPr>
                <w:b/>
                <w:color w:val="000000"/>
                <w:sz w:val="20"/>
                <w:szCs w:val="20"/>
                <w:highlight w:val="white"/>
              </w:rPr>
            </w:pPr>
            <w:r>
              <w:rPr>
                <w:b/>
                <w:color w:val="000000"/>
                <w:sz w:val="20"/>
                <w:szCs w:val="20"/>
                <w:highlight w:val="white"/>
              </w:rPr>
              <w:t>2019</w:t>
            </w:r>
          </w:p>
        </w:tc>
        <w:tc>
          <w:tcPr>
            <w:tcW w:w="1305" w:type="dxa"/>
            <w:vAlign w:val="center"/>
          </w:tcPr>
          <w:p w14:paraId="3669F6AC" w14:textId="77777777" w:rsidR="003B4DFE" w:rsidRDefault="009E6D93">
            <w:pPr>
              <w:jc w:val="center"/>
              <w:rPr>
                <w:color w:val="000000"/>
                <w:sz w:val="20"/>
                <w:szCs w:val="20"/>
                <w:highlight w:val="white"/>
              </w:rPr>
            </w:pPr>
            <w:r>
              <w:rPr>
                <w:color w:val="000000"/>
                <w:sz w:val="20"/>
                <w:szCs w:val="20"/>
                <w:highlight w:val="white"/>
              </w:rPr>
              <w:t>10.398</w:t>
            </w:r>
          </w:p>
        </w:tc>
        <w:tc>
          <w:tcPr>
            <w:tcW w:w="1253" w:type="dxa"/>
            <w:vAlign w:val="center"/>
          </w:tcPr>
          <w:p w14:paraId="4536B078" w14:textId="77777777" w:rsidR="003B4DFE" w:rsidRDefault="009E6D93">
            <w:pPr>
              <w:jc w:val="center"/>
              <w:rPr>
                <w:color w:val="000000"/>
                <w:sz w:val="20"/>
                <w:szCs w:val="20"/>
                <w:highlight w:val="white"/>
              </w:rPr>
            </w:pPr>
            <w:r>
              <w:rPr>
                <w:color w:val="000000"/>
                <w:sz w:val="20"/>
                <w:szCs w:val="20"/>
                <w:highlight w:val="white"/>
              </w:rPr>
              <w:t>4.875</w:t>
            </w:r>
          </w:p>
        </w:tc>
        <w:tc>
          <w:tcPr>
            <w:tcW w:w="1305" w:type="dxa"/>
            <w:vAlign w:val="center"/>
          </w:tcPr>
          <w:p w14:paraId="30891776" w14:textId="77777777" w:rsidR="003B4DFE" w:rsidRDefault="009E6D93">
            <w:pPr>
              <w:jc w:val="center"/>
              <w:rPr>
                <w:color w:val="000000"/>
                <w:sz w:val="20"/>
                <w:szCs w:val="20"/>
                <w:highlight w:val="white"/>
              </w:rPr>
            </w:pPr>
            <w:r>
              <w:rPr>
                <w:color w:val="000000"/>
                <w:sz w:val="20"/>
                <w:szCs w:val="20"/>
                <w:highlight w:val="white"/>
              </w:rPr>
              <w:t>17.760</w:t>
            </w:r>
          </w:p>
        </w:tc>
        <w:tc>
          <w:tcPr>
            <w:tcW w:w="1245" w:type="dxa"/>
            <w:vAlign w:val="center"/>
          </w:tcPr>
          <w:p w14:paraId="415466E3" w14:textId="77777777" w:rsidR="003B4DFE" w:rsidRDefault="009E6D93">
            <w:pPr>
              <w:jc w:val="center"/>
              <w:rPr>
                <w:color w:val="000000"/>
                <w:sz w:val="20"/>
                <w:szCs w:val="20"/>
                <w:highlight w:val="white"/>
              </w:rPr>
            </w:pPr>
            <w:r>
              <w:rPr>
                <w:color w:val="000000"/>
                <w:sz w:val="20"/>
                <w:szCs w:val="20"/>
                <w:highlight w:val="white"/>
              </w:rPr>
              <w:t>8.822</w:t>
            </w:r>
          </w:p>
        </w:tc>
        <w:tc>
          <w:tcPr>
            <w:tcW w:w="1305" w:type="dxa"/>
            <w:vAlign w:val="center"/>
          </w:tcPr>
          <w:p w14:paraId="053A0AF5" w14:textId="77777777" w:rsidR="003B4DFE" w:rsidRDefault="009E6D93">
            <w:pPr>
              <w:jc w:val="center"/>
              <w:rPr>
                <w:color w:val="000000"/>
                <w:sz w:val="20"/>
                <w:szCs w:val="20"/>
                <w:highlight w:val="white"/>
              </w:rPr>
            </w:pPr>
            <w:r>
              <w:rPr>
                <w:color w:val="000000"/>
                <w:sz w:val="20"/>
                <w:szCs w:val="20"/>
                <w:highlight w:val="white"/>
              </w:rPr>
              <w:t>28.158</w:t>
            </w:r>
          </w:p>
        </w:tc>
        <w:tc>
          <w:tcPr>
            <w:tcW w:w="1230" w:type="dxa"/>
            <w:vAlign w:val="center"/>
          </w:tcPr>
          <w:p w14:paraId="4BDB5498" w14:textId="77777777" w:rsidR="003B4DFE" w:rsidRDefault="003B4DFE">
            <w:pPr>
              <w:jc w:val="center"/>
              <w:rPr>
                <w:color w:val="000000"/>
                <w:sz w:val="20"/>
                <w:szCs w:val="20"/>
                <w:highlight w:val="white"/>
              </w:rPr>
            </w:pPr>
          </w:p>
          <w:p w14:paraId="2CD3BA8E" w14:textId="77777777" w:rsidR="003B4DFE" w:rsidRDefault="009E6D93">
            <w:pPr>
              <w:jc w:val="center"/>
              <w:rPr>
                <w:color w:val="000000"/>
                <w:sz w:val="20"/>
                <w:szCs w:val="20"/>
                <w:highlight w:val="white"/>
              </w:rPr>
            </w:pPr>
            <w:r>
              <w:rPr>
                <w:color w:val="000000"/>
                <w:sz w:val="20"/>
                <w:szCs w:val="20"/>
                <w:highlight w:val="white"/>
              </w:rPr>
              <w:t>13.234</w:t>
            </w:r>
          </w:p>
          <w:p w14:paraId="2916C19D" w14:textId="77777777" w:rsidR="003B4DFE" w:rsidRDefault="003B4DFE">
            <w:pPr>
              <w:jc w:val="center"/>
              <w:rPr>
                <w:color w:val="000000"/>
                <w:sz w:val="20"/>
                <w:szCs w:val="20"/>
                <w:highlight w:val="white"/>
              </w:rPr>
            </w:pPr>
          </w:p>
        </w:tc>
      </w:tr>
      <w:tr w:rsidR="003B4DFE" w14:paraId="2E1E6FE9" w14:textId="77777777">
        <w:trPr>
          <w:jc w:val="center"/>
        </w:trPr>
        <w:tc>
          <w:tcPr>
            <w:tcW w:w="1187" w:type="dxa"/>
            <w:vAlign w:val="center"/>
          </w:tcPr>
          <w:p w14:paraId="42B71CCD" w14:textId="77777777" w:rsidR="003B4DFE" w:rsidRDefault="009E6D93">
            <w:pPr>
              <w:jc w:val="center"/>
              <w:rPr>
                <w:b/>
                <w:color w:val="000000"/>
                <w:sz w:val="20"/>
                <w:szCs w:val="20"/>
                <w:highlight w:val="white"/>
              </w:rPr>
            </w:pPr>
            <w:r>
              <w:rPr>
                <w:b/>
                <w:color w:val="000000"/>
                <w:sz w:val="20"/>
                <w:szCs w:val="20"/>
                <w:highlight w:val="white"/>
              </w:rPr>
              <w:t>2020</w:t>
            </w:r>
          </w:p>
        </w:tc>
        <w:tc>
          <w:tcPr>
            <w:tcW w:w="1305" w:type="dxa"/>
            <w:vAlign w:val="center"/>
          </w:tcPr>
          <w:p w14:paraId="1DE4677E" w14:textId="77777777" w:rsidR="003B4DFE" w:rsidRDefault="009E6D93">
            <w:pPr>
              <w:jc w:val="center"/>
              <w:rPr>
                <w:color w:val="000000"/>
                <w:sz w:val="20"/>
                <w:szCs w:val="20"/>
                <w:highlight w:val="white"/>
              </w:rPr>
            </w:pPr>
            <w:r>
              <w:rPr>
                <w:color w:val="000000"/>
                <w:sz w:val="20"/>
                <w:szCs w:val="20"/>
                <w:highlight w:val="white"/>
              </w:rPr>
              <w:t>23.071</w:t>
            </w:r>
          </w:p>
        </w:tc>
        <w:tc>
          <w:tcPr>
            <w:tcW w:w="1253" w:type="dxa"/>
            <w:vAlign w:val="center"/>
          </w:tcPr>
          <w:p w14:paraId="6429D90C" w14:textId="77777777" w:rsidR="003B4DFE" w:rsidRDefault="009E6D93">
            <w:pPr>
              <w:jc w:val="center"/>
              <w:rPr>
                <w:color w:val="000000"/>
                <w:sz w:val="20"/>
                <w:szCs w:val="20"/>
                <w:highlight w:val="white"/>
              </w:rPr>
            </w:pPr>
            <w:r>
              <w:rPr>
                <w:color w:val="000000"/>
                <w:sz w:val="20"/>
                <w:szCs w:val="20"/>
                <w:highlight w:val="white"/>
              </w:rPr>
              <w:t>9.860</w:t>
            </w:r>
          </w:p>
        </w:tc>
        <w:tc>
          <w:tcPr>
            <w:tcW w:w="1305" w:type="dxa"/>
            <w:vAlign w:val="center"/>
          </w:tcPr>
          <w:p w14:paraId="4D067BD0" w14:textId="77777777" w:rsidR="003B4DFE" w:rsidRDefault="009E6D93">
            <w:pPr>
              <w:jc w:val="center"/>
              <w:rPr>
                <w:color w:val="000000"/>
                <w:sz w:val="20"/>
                <w:szCs w:val="20"/>
                <w:highlight w:val="white"/>
              </w:rPr>
            </w:pPr>
            <w:r>
              <w:rPr>
                <w:color w:val="000000"/>
                <w:sz w:val="20"/>
                <w:szCs w:val="20"/>
                <w:highlight w:val="white"/>
              </w:rPr>
              <w:t>16.612</w:t>
            </w:r>
          </w:p>
        </w:tc>
        <w:tc>
          <w:tcPr>
            <w:tcW w:w="1245" w:type="dxa"/>
            <w:vAlign w:val="center"/>
          </w:tcPr>
          <w:p w14:paraId="55C9969E" w14:textId="77777777" w:rsidR="003B4DFE" w:rsidRDefault="009E6D93">
            <w:pPr>
              <w:jc w:val="center"/>
              <w:rPr>
                <w:color w:val="000000"/>
                <w:sz w:val="20"/>
                <w:szCs w:val="20"/>
                <w:highlight w:val="white"/>
              </w:rPr>
            </w:pPr>
            <w:r>
              <w:rPr>
                <w:color w:val="000000"/>
                <w:sz w:val="20"/>
                <w:szCs w:val="20"/>
                <w:highlight w:val="white"/>
              </w:rPr>
              <w:t>7.314</w:t>
            </w:r>
          </w:p>
        </w:tc>
        <w:tc>
          <w:tcPr>
            <w:tcW w:w="1305" w:type="dxa"/>
            <w:vAlign w:val="center"/>
          </w:tcPr>
          <w:p w14:paraId="41BE1CAB" w14:textId="77777777" w:rsidR="003B4DFE" w:rsidRDefault="009E6D93">
            <w:pPr>
              <w:jc w:val="center"/>
              <w:rPr>
                <w:color w:val="000000"/>
                <w:sz w:val="20"/>
                <w:szCs w:val="20"/>
                <w:highlight w:val="white"/>
              </w:rPr>
            </w:pPr>
            <w:r>
              <w:rPr>
                <w:color w:val="000000"/>
                <w:sz w:val="20"/>
                <w:szCs w:val="20"/>
                <w:highlight w:val="white"/>
              </w:rPr>
              <w:t>39.683</w:t>
            </w:r>
          </w:p>
        </w:tc>
        <w:tc>
          <w:tcPr>
            <w:tcW w:w="1230" w:type="dxa"/>
            <w:vAlign w:val="center"/>
          </w:tcPr>
          <w:p w14:paraId="60716812" w14:textId="77777777" w:rsidR="003B4DFE" w:rsidRDefault="009E6D93">
            <w:pPr>
              <w:jc w:val="center"/>
              <w:rPr>
                <w:color w:val="000000"/>
                <w:sz w:val="20"/>
                <w:szCs w:val="20"/>
                <w:highlight w:val="white"/>
              </w:rPr>
            </w:pPr>
            <w:r>
              <w:rPr>
                <w:color w:val="000000"/>
                <w:sz w:val="20"/>
                <w:szCs w:val="20"/>
                <w:highlight w:val="white"/>
              </w:rPr>
              <w:t>16.332</w:t>
            </w:r>
          </w:p>
          <w:p w14:paraId="74869460" w14:textId="77777777" w:rsidR="003B4DFE" w:rsidRDefault="003B4DFE">
            <w:pPr>
              <w:jc w:val="center"/>
              <w:rPr>
                <w:color w:val="000000"/>
                <w:sz w:val="20"/>
                <w:szCs w:val="20"/>
                <w:highlight w:val="white"/>
              </w:rPr>
            </w:pPr>
          </w:p>
        </w:tc>
      </w:tr>
      <w:tr w:rsidR="003B4DFE" w14:paraId="33441D8F" w14:textId="77777777">
        <w:trPr>
          <w:jc w:val="center"/>
        </w:trPr>
        <w:tc>
          <w:tcPr>
            <w:tcW w:w="1187" w:type="dxa"/>
            <w:vAlign w:val="center"/>
          </w:tcPr>
          <w:p w14:paraId="65B281B9" w14:textId="77777777" w:rsidR="003B4DFE" w:rsidRDefault="009E6D93">
            <w:pPr>
              <w:jc w:val="center"/>
              <w:rPr>
                <w:b/>
                <w:color w:val="000000"/>
                <w:sz w:val="20"/>
                <w:szCs w:val="20"/>
                <w:highlight w:val="white"/>
              </w:rPr>
            </w:pPr>
            <w:r>
              <w:rPr>
                <w:b/>
                <w:color w:val="000000"/>
                <w:sz w:val="20"/>
                <w:szCs w:val="20"/>
                <w:highlight w:val="white"/>
              </w:rPr>
              <w:t>2021</w:t>
            </w:r>
          </w:p>
        </w:tc>
        <w:tc>
          <w:tcPr>
            <w:tcW w:w="1305" w:type="dxa"/>
            <w:vAlign w:val="center"/>
          </w:tcPr>
          <w:p w14:paraId="2733B54B" w14:textId="77777777" w:rsidR="003B4DFE" w:rsidRDefault="009E6D93">
            <w:pPr>
              <w:jc w:val="center"/>
              <w:rPr>
                <w:color w:val="000000"/>
                <w:sz w:val="20"/>
                <w:szCs w:val="20"/>
                <w:highlight w:val="white"/>
              </w:rPr>
            </w:pPr>
            <w:r>
              <w:rPr>
                <w:color w:val="000000"/>
                <w:sz w:val="20"/>
                <w:szCs w:val="20"/>
                <w:highlight w:val="white"/>
              </w:rPr>
              <w:t>16.309</w:t>
            </w:r>
          </w:p>
        </w:tc>
        <w:tc>
          <w:tcPr>
            <w:tcW w:w="1253" w:type="dxa"/>
            <w:vAlign w:val="center"/>
          </w:tcPr>
          <w:p w14:paraId="4B125824" w14:textId="77777777" w:rsidR="003B4DFE" w:rsidRDefault="009E6D93">
            <w:pPr>
              <w:jc w:val="center"/>
              <w:rPr>
                <w:color w:val="000000"/>
                <w:sz w:val="20"/>
                <w:szCs w:val="20"/>
                <w:highlight w:val="white"/>
              </w:rPr>
            </w:pPr>
            <w:r>
              <w:rPr>
                <w:color w:val="000000"/>
                <w:sz w:val="20"/>
                <w:szCs w:val="20"/>
                <w:highlight w:val="white"/>
              </w:rPr>
              <w:t>7.735</w:t>
            </w:r>
          </w:p>
        </w:tc>
        <w:tc>
          <w:tcPr>
            <w:tcW w:w="1305" w:type="dxa"/>
            <w:vAlign w:val="center"/>
          </w:tcPr>
          <w:p w14:paraId="0C6C9901" w14:textId="77777777" w:rsidR="003B4DFE" w:rsidRDefault="009E6D93">
            <w:pPr>
              <w:jc w:val="center"/>
              <w:rPr>
                <w:color w:val="000000"/>
                <w:sz w:val="20"/>
                <w:szCs w:val="20"/>
                <w:highlight w:val="white"/>
              </w:rPr>
            </w:pPr>
            <w:r>
              <w:rPr>
                <w:color w:val="000000"/>
                <w:sz w:val="20"/>
                <w:szCs w:val="20"/>
                <w:highlight w:val="white"/>
              </w:rPr>
              <w:t>16.253</w:t>
            </w:r>
          </w:p>
        </w:tc>
        <w:tc>
          <w:tcPr>
            <w:tcW w:w="1245" w:type="dxa"/>
            <w:vAlign w:val="center"/>
          </w:tcPr>
          <w:p w14:paraId="0D745745" w14:textId="77777777" w:rsidR="003B4DFE" w:rsidRDefault="009E6D93">
            <w:pPr>
              <w:jc w:val="center"/>
              <w:rPr>
                <w:color w:val="000000"/>
                <w:sz w:val="20"/>
                <w:szCs w:val="20"/>
                <w:highlight w:val="white"/>
              </w:rPr>
            </w:pPr>
            <w:r>
              <w:rPr>
                <w:color w:val="000000"/>
                <w:sz w:val="20"/>
                <w:szCs w:val="20"/>
                <w:highlight w:val="white"/>
              </w:rPr>
              <w:t>8.037</w:t>
            </w:r>
          </w:p>
        </w:tc>
        <w:tc>
          <w:tcPr>
            <w:tcW w:w="1305" w:type="dxa"/>
            <w:vAlign w:val="center"/>
          </w:tcPr>
          <w:p w14:paraId="2901CC8C" w14:textId="77777777" w:rsidR="003B4DFE" w:rsidRDefault="009E6D93">
            <w:pPr>
              <w:jc w:val="center"/>
              <w:rPr>
                <w:color w:val="000000"/>
                <w:sz w:val="20"/>
                <w:szCs w:val="20"/>
                <w:highlight w:val="white"/>
              </w:rPr>
            </w:pPr>
            <w:r>
              <w:rPr>
                <w:color w:val="000000"/>
                <w:sz w:val="20"/>
                <w:szCs w:val="20"/>
                <w:highlight w:val="white"/>
              </w:rPr>
              <w:t>32.562</w:t>
            </w:r>
          </w:p>
        </w:tc>
        <w:tc>
          <w:tcPr>
            <w:tcW w:w="1230" w:type="dxa"/>
            <w:vAlign w:val="center"/>
          </w:tcPr>
          <w:p w14:paraId="58B45DB6" w14:textId="77777777" w:rsidR="003B4DFE" w:rsidRDefault="009E6D93">
            <w:pPr>
              <w:jc w:val="center"/>
              <w:rPr>
                <w:color w:val="000000"/>
                <w:sz w:val="20"/>
                <w:szCs w:val="20"/>
                <w:highlight w:val="white"/>
              </w:rPr>
            </w:pPr>
            <w:r>
              <w:rPr>
                <w:color w:val="000000"/>
                <w:sz w:val="20"/>
                <w:szCs w:val="20"/>
                <w:highlight w:val="white"/>
              </w:rPr>
              <w:t>15.043</w:t>
            </w:r>
          </w:p>
          <w:p w14:paraId="187F57B8" w14:textId="77777777" w:rsidR="003B4DFE" w:rsidRDefault="003B4DFE">
            <w:pPr>
              <w:jc w:val="center"/>
              <w:rPr>
                <w:color w:val="000000"/>
                <w:sz w:val="20"/>
                <w:szCs w:val="20"/>
                <w:highlight w:val="white"/>
              </w:rPr>
            </w:pPr>
          </w:p>
        </w:tc>
      </w:tr>
      <w:tr w:rsidR="003B4DFE" w14:paraId="6EDAB712" w14:textId="77777777">
        <w:trPr>
          <w:jc w:val="center"/>
        </w:trPr>
        <w:tc>
          <w:tcPr>
            <w:tcW w:w="1187" w:type="dxa"/>
            <w:vAlign w:val="center"/>
          </w:tcPr>
          <w:p w14:paraId="1FBE425F" w14:textId="77777777" w:rsidR="003B4DFE" w:rsidRDefault="009E6D93">
            <w:pPr>
              <w:jc w:val="center"/>
              <w:rPr>
                <w:b/>
                <w:color w:val="000000"/>
                <w:sz w:val="20"/>
                <w:szCs w:val="20"/>
                <w:highlight w:val="white"/>
              </w:rPr>
            </w:pPr>
            <w:r>
              <w:rPr>
                <w:b/>
                <w:color w:val="000000"/>
                <w:sz w:val="20"/>
                <w:szCs w:val="20"/>
                <w:highlight w:val="white"/>
              </w:rPr>
              <w:t>2022</w:t>
            </w:r>
          </w:p>
        </w:tc>
        <w:tc>
          <w:tcPr>
            <w:tcW w:w="1305" w:type="dxa"/>
            <w:vAlign w:val="center"/>
          </w:tcPr>
          <w:p w14:paraId="5BDC2291" w14:textId="77777777" w:rsidR="003B4DFE" w:rsidRDefault="009E6D93">
            <w:pPr>
              <w:jc w:val="center"/>
              <w:rPr>
                <w:color w:val="000000"/>
                <w:sz w:val="20"/>
                <w:szCs w:val="20"/>
                <w:highlight w:val="white"/>
              </w:rPr>
            </w:pPr>
            <w:r>
              <w:rPr>
                <w:color w:val="000000"/>
                <w:sz w:val="20"/>
                <w:szCs w:val="20"/>
                <w:highlight w:val="white"/>
              </w:rPr>
              <w:t>18.979</w:t>
            </w:r>
          </w:p>
        </w:tc>
        <w:tc>
          <w:tcPr>
            <w:tcW w:w="1253" w:type="dxa"/>
            <w:vAlign w:val="center"/>
          </w:tcPr>
          <w:p w14:paraId="3D2223A4" w14:textId="77777777" w:rsidR="003B4DFE" w:rsidRDefault="009E6D93">
            <w:pPr>
              <w:jc w:val="center"/>
              <w:rPr>
                <w:color w:val="000000"/>
                <w:sz w:val="20"/>
                <w:szCs w:val="20"/>
                <w:highlight w:val="white"/>
              </w:rPr>
            </w:pPr>
            <w:r>
              <w:rPr>
                <w:color w:val="000000"/>
                <w:sz w:val="20"/>
                <w:szCs w:val="20"/>
                <w:highlight w:val="white"/>
              </w:rPr>
              <w:t>8.200</w:t>
            </w:r>
          </w:p>
        </w:tc>
        <w:tc>
          <w:tcPr>
            <w:tcW w:w="1305" w:type="dxa"/>
            <w:vAlign w:val="center"/>
          </w:tcPr>
          <w:p w14:paraId="4B2D35AA" w14:textId="77777777" w:rsidR="003B4DFE" w:rsidRDefault="009E6D93">
            <w:pPr>
              <w:jc w:val="center"/>
              <w:rPr>
                <w:color w:val="000000"/>
                <w:sz w:val="20"/>
                <w:szCs w:val="20"/>
                <w:highlight w:val="white"/>
              </w:rPr>
            </w:pPr>
            <w:r>
              <w:rPr>
                <w:color w:val="000000"/>
                <w:sz w:val="20"/>
                <w:szCs w:val="20"/>
                <w:highlight w:val="white"/>
              </w:rPr>
              <w:t>5.447</w:t>
            </w:r>
          </w:p>
        </w:tc>
        <w:tc>
          <w:tcPr>
            <w:tcW w:w="1245" w:type="dxa"/>
            <w:vAlign w:val="center"/>
          </w:tcPr>
          <w:p w14:paraId="53A37054" w14:textId="77777777" w:rsidR="003B4DFE" w:rsidRDefault="009E6D93">
            <w:pPr>
              <w:jc w:val="center"/>
              <w:rPr>
                <w:color w:val="000000"/>
                <w:sz w:val="20"/>
                <w:szCs w:val="20"/>
                <w:highlight w:val="white"/>
              </w:rPr>
            </w:pPr>
            <w:r>
              <w:rPr>
                <w:color w:val="000000"/>
                <w:sz w:val="20"/>
                <w:szCs w:val="20"/>
                <w:highlight w:val="white"/>
              </w:rPr>
              <w:t>2.845</w:t>
            </w:r>
          </w:p>
        </w:tc>
        <w:tc>
          <w:tcPr>
            <w:tcW w:w="1305" w:type="dxa"/>
            <w:vAlign w:val="center"/>
          </w:tcPr>
          <w:p w14:paraId="79F9E485" w14:textId="77777777" w:rsidR="003B4DFE" w:rsidRDefault="009E6D93">
            <w:pPr>
              <w:jc w:val="center"/>
              <w:rPr>
                <w:color w:val="000000"/>
                <w:sz w:val="20"/>
                <w:szCs w:val="20"/>
                <w:highlight w:val="white"/>
              </w:rPr>
            </w:pPr>
            <w:r>
              <w:rPr>
                <w:color w:val="000000"/>
                <w:sz w:val="20"/>
                <w:szCs w:val="20"/>
                <w:highlight w:val="white"/>
              </w:rPr>
              <w:t>24.426</w:t>
            </w:r>
          </w:p>
        </w:tc>
        <w:tc>
          <w:tcPr>
            <w:tcW w:w="1230" w:type="dxa"/>
            <w:vAlign w:val="center"/>
          </w:tcPr>
          <w:p w14:paraId="1B2DEA76" w14:textId="77777777" w:rsidR="003B4DFE" w:rsidRDefault="009E6D93">
            <w:pPr>
              <w:jc w:val="center"/>
              <w:rPr>
                <w:color w:val="000000"/>
                <w:sz w:val="20"/>
                <w:szCs w:val="20"/>
                <w:highlight w:val="white"/>
              </w:rPr>
            </w:pPr>
            <w:r>
              <w:rPr>
                <w:color w:val="000000"/>
                <w:sz w:val="20"/>
                <w:szCs w:val="20"/>
                <w:highlight w:val="white"/>
              </w:rPr>
              <w:t>10.978</w:t>
            </w:r>
          </w:p>
          <w:p w14:paraId="54738AF4" w14:textId="77777777" w:rsidR="003B4DFE" w:rsidRDefault="003B4DFE">
            <w:pPr>
              <w:jc w:val="center"/>
              <w:rPr>
                <w:color w:val="000000"/>
                <w:sz w:val="20"/>
                <w:szCs w:val="20"/>
                <w:highlight w:val="white"/>
              </w:rPr>
            </w:pPr>
          </w:p>
        </w:tc>
      </w:tr>
      <w:tr w:rsidR="003B4DFE" w14:paraId="6138644F" w14:textId="77777777">
        <w:trPr>
          <w:jc w:val="center"/>
        </w:trPr>
        <w:tc>
          <w:tcPr>
            <w:tcW w:w="1187" w:type="dxa"/>
            <w:vAlign w:val="center"/>
          </w:tcPr>
          <w:p w14:paraId="596C654B" w14:textId="77777777" w:rsidR="003B4DFE" w:rsidRDefault="009E6D93">
            <w:pPr>
              <w:jc w:val="center"/>
              <w:rPr>
                <w:b/>
                <w:color w:val="000000"/>
                <w:sz w:val="20"/>
                <w:szCs w:val="20"/>
                <w:highlight w:val="white"/>
              </w:rPr>
            </w:pPr>
            <w:r>
              <w:rPr>
                <w:b/>
                <w:color w:val="000000"/>
                <w:sz w:val="20"/>
                <w:szCs w:val="20"/>
                <w:highlight w:val="white"/>
              </w:rPr>
              <w:t>TOTAL</w:t>
            </w:r>
          </w:p>
        </w:tc>
        <w:tc>
          <w:tcPr>
            <w:tcW w:w="1305" w:type="dxa"/>
            <w:vAlign w:val="center"/>
          </w:tcPr>
          <w:p w14:paraId="5F09A57B" w14:textId="77777777" w:rsidR="003B4DFE" w:rsidRDefault="009E6D93">
            <w:pPr>
              <w:jc w:val="center"/>
              <w:rPr>
                <w:color w:val="000000"/>
                <w:sz w:val="20"/>
                <w:szCs w:val="20"/>
                <w:highlight w:val="white"/>
              </w:rPr>
            </w:pPr>
            <w:r>
              <w:rPr>
                <w:color w:val="000000"/>
                <w:sz w:val="20"/>
                <w:szCs w:val="20"/>
                <w:highlight w:val="white"/>
              </w:rPr>
              <w:t>68.757</w:t>
            </w:r>
          </w:p>
        </w:tc>
        <w:tc>
          <w:tcPr>
            <w:tcW w:w="1253" w:type="dxa"/>
            <w:vAlign w:val="center"/>
          </w:tcPr>
          <w:p w14:paraId="345BB8FD" w14:textId="77777777" w:rsidR="003B4DFE" w:rsidRDefault="009E6D93">
            <w:pPr>
              <w:jc w:val="center"/>
              <w:rPr>
                <w:color w:val="000000"/>
                <w:sz w:val="20"/>
                <w:szCs w:val="20"/>
                <w:highlight w:val="white"/>
              </w:rPr>
            </w:pPr>
            <w:r>
              <w:rPr>
                <w:color w:val="000000"/>
                <w:sz w:val="20"/>
                <w:szCs w:val="20"/>
                <w:highlight w:val="white"/>
              </w:rPr>
              <w:t>29.969</w:t>
            </w:r>
          </w:p>
        </w:tc>
        <w:tc>
          <w:tcPr>
            <w:tcW w:w="1305" w:type="dxa"/>
            <w:vAlign w:val="center"/>
          </w:tcPr>
          <w:p w14:paraId="78D60795" w14:textId="77777777" w:rsidR="003B4DFE" w:rsidRDefault="009E6D93">
            <w:pPr>
              <w:jc w:val="center"/>
              <w:rPr>
                <w:color w:val="000000"/>
                <w:sz w:val="20"/>
                <w:szCs w:val="20"/>
                <w:highlight w:val="white"/>
              </w:rPr>
            </w:pPr>
            <w:r>
              <w:rPr>
                <w:color w:val="000000"/>
                <w:sz w:val="20"/>
                <w:szCs w:val="20"/>
                <w:highlight w:val="white"/>
              </w:rPr>
              <w:t>56.072</w:t>
            </w:r>
          </w:p>
        </w:tc>
        <w:tc>
          <w:tcPr>
            <w:tcW w:w="1245" w:type="dxa"/>
            <w:vAlign w:val="center"/>
          </w:tcPr>
          <w:p w14:paraId="57D4C8DC" w14:textId="77777777" w:rsidR="003B4DFE" w:rsidRDefault="009E6D93">
            <w:pPr>
              <w:jc w:val="center"/>
              <w:rPr>
                <w:color w:val="000000"/>
                <w:sz w:val="20"/>
                <w:szCs w:val="20"/>
                <w:highlight w:val="white"/>
              </w:rPr>
            </w:pPr>
            <w:r>
              <w:rPr>
                <w:color w:val="000000"/>
                <w:sz w:val="20"/>
                <w:szCs w:val="20"/>
                <w:highlight w:val="white"/>
              </w:rPr>
              <w:t>26.386</w:t>
            </w:r>
          </w:p>
        </w:tc>
        <w:tc>
          <w:tcPr>
            <w:tcW w:w="1305" w:type="dxa"/>
            <w:vAlign w:val="center"/>
          </w:tcPr>
          <w:p w14:paraId="1922F7F7" w14:textId="77777777" w:rsidR="003B4DFE" w:rsidRDefault="009E6D93">
            <w:pPr>
              <w:jc w:val="center"/>
              <w:rPr>
                <w:color w:val="000000"/>
                <w:sz w:val="20"/>
                <w:szCs w:val="20"/>
                <w:highlight w:val="white"/>
              </w:rPr>
            </w:pPr>
            <w:r>
              <w:rPr>
                <w:color w:val="000000"/>
                <w:sz w:val="20"/>
                <w:szCs w:val="20"/>
                <w:highlight w:val="white"/>
              </w:rPr>
              <w:t>124.829</w:t>
            </w:r>
          </w:p>
        </w:tc>
        <w:tc>
          <w:tcPr>
            <w:tcW w:w="1230" w:type="dxa"/>
            <w:vAlign w:val="center"/>
          </w:tcPr>
          <w:p w14:paraId="697909A9" w14:textId="77777777" w:rsidR="003B4DFE" w:rsidRDefault="009E6D93">
            <w:pPr>
              <w:jc w:val="center"/>
              <w:rPr>
                <w:color w:val="000000"/>
                <w:sz w:val="20"/>
                <w:szCs w:val="20"/>
                <w:highlight w:val="white"/>
              </w:rPr>
            </w:pPr>
            <w:r>
              <w:rPr>
                <w:color w:val="000000"/>
                <w:sz w:val="20"/>
                <w:szCs w:val="20"/>
                <w:highlight w:val="white"/>
              </w:rPr>
              <w:t>52.411</w:t>
            </w:r>
          </w:p>
          <w:p w14:paraId="46ABBD8F" w14:textId="77777777" w:rsidR="003B4DFE" w:rsidRDefault="003B4DFE">
            <w:pPr>
              <w:jc w:val="center"/>
              <w:rPr>
                <w:color w:val="000000"/>
                <w:sz w:val="20"/>
                <w:szCs w:val="20"/>
                <w:highlight w:val="white"/>
              </w:rPr>
            </w:pPr>
          </w:p>
        </w:tc>
      </w:tr>
    </w:tbl>
    <w:p w14:paraId="06BBA33E" w14:textId="77777777" w:rsidR="003B4DFE" w:rsidRDefault="003B4DFE">
      <w:pPr>
        <w:jc w:val="both"/>
        <w:rPr>
          <w:i/>
          <w:color w:val="000000"/>
          <w:sz w:val="22"/>
          <w:szCs w:val="22"/>
          <w:highlight w:val="white"/>
        </w:rPr>
      </w:pPr>
    </w:p>
    <w:p w14:paraId="2590FDEA" w14:textId="77777777" w:rsidR="003B4DFE" w:rsidRDefault="009E6D93">
      <w:pPr>
        <w:jc w:val="both"/>
        <w:rPr>
          <w:color w:val="000000"/>
          <w:sz w:val="22"/>
          <w:szCs w:val="22"/>
          <w:highlight w:val="white"/>
        </w:rPr>
      </w:pPr>
      <w:r>
        <w:rPr>
          <w:i/>
          <w:color w:val="000000"/>
          <w:sz w:val="22"/>
          <w:szCs w:val="22"/>
          <w:highlight w:val="white"/>
        </w:rPr>
        <w:t xml:space="preserve">Nota. </w:t>
      </w:r>
      <w:r>
        <w:rPr>
          <w:color w:val="000000"/>
          <w:sz w:val="22"/>
          <w:szCs w:val="22"/>
          <w:highlight w:val="white"/>
        </w:rPr>
        <w:t xml:space="preserve">Secretaría Distrital de Salud </w:t>
      </w:r>
    </w:p>
    <w:p w14:paraId="464FCBC1" w14:textId="77777777" w:rsidR="003B4DFE" w:rsidRDefault="003B4DFE">
      <w:pPr>
        <w:jc w:val="both"/>
        <w:rPr>
          <w:color w:val="000000"/>
          <w:sz w:val="22"/>
          <w:szCs w:val="22"/>
          <w:highlight w:val="white"/>
        </w:rPr>
      </w:pPr>
    </w:p>
    <w:p w14:paraId="4DD970CA" w14:textId="77777777" w:rsidR="003B4DFE" w:rsidRDefault="009E6D93">
      <w:pPr>
        <w:jc w:val="both"/>
        <w:rPr>
          <w:color w:val="000000"/>
          <w:sz w:val="22"/>
          <w:szCs w:val="22"/>
          <w:highlight w:val="white"/>
        </w:rPr>
      </w:pPr>
      <w:r>
        <w:rPr>
          <w:color w:val="000000"/>
          <w:sz w:val="22"/>
          <w:szCs w:val="22"/>
          <w:highlight w:val="white"/>
        </w:rPr>
        <w:t xml:space="preserve">Como se puede observar entre el 2019 y el 2022 se realizaron 124.829 atenciones por afecciones de la salud mental a personas durante el periodo de gestación o durante el periodo postparto. </w:t>
      </w:r>
    </w:p>
    <w:p w14:paraId="5C8C6B09" w14:textId="77777777" w:rsidR="003B4DFE" w:rsidRDefault="003B4DFE">
      <w:pPr>
        <w:jc w:val="both"/>
        <w:rPr>
          <w:color w:val="000000"/>
          <w:sz w:val="22"/>
          <w:szCs w:val="22"/>
          <w:highlight w:val="white"/>
        </w:rPr>
      </w:pPr>
    </w:p>
    <w:p w14:paraId="589B988A" w14:textId="77777777" w:rsidR="003B4DFE" w:rsidRDefault="009E6D93">
      <w:pPr>
        <w:jc w:val="both"/>
        <w:rPr>
          <w:i/>
          <w:color w:val="000000"/>
          <w:sz w:val="22"/>
          <w:szCs w:val="22"/>
          <w:highlight w:val="white"/>
        </w:rPr>
      </w:pPr>
      <w:r>
        <w:rPr>
          <w:color w:val="000000"/>
          <w:sz w:val="22"/>
          <w:szCs w:val="22"/>
          <w:highlight w:val="white"/>
        </w:rPr>
        <w:t>La Secretaría Distrital de Salud en la respuesta a la solicitud de información anteriormente mencionada señala que “</w:t>
      </w:r>
      <w:r>
        <w:rPr>
          <w:i/>
          <w:color w:val="000000"/>
          <w:sz w:val="22"/>
          <w:szCs w:val="22"/>
          <w:highlight w:val="white"/>
        </w:rPr>
        <w:t xml:space="preserve">los trastornos depresivos han sido identificados en 15.361 personas durante los años 2019 a 2022, lo cual equivale al 3.48% de las personas en periodo de gestación o puerperio identificadas en ese mismo periodo (…). Por otra parte, los trastornos de ansiedad fueron identificados en el 2.15% de las personas en gestación o puerperio (9.490 individuos). Dentro de las afectaciones mentales diferentes a trastornos de ansiedad o depresión, se destacan los trastornos relacionados con traumas y factores de estrés, los cuales afectan al 3,92% (17.301) de los individuos en gestación o puerperio atendidos en el periodo 2019-2022”. </w:t>
      </w:r>
    </w:p>
    <w:p w14:paraId="5C71F136" w14:textId="5389348C" w:rsidR="003B4DFE" w:rsidRDefault="003B4DFE">
      <w:pPr>
        <w:jc w:val="both"/>
        <w:rPr>
          <w:i/>
          <w:color w:val="000000"/>
          <w:sz w:val="22"/>
          <w:szCs w:val="22"/>
          <w:highlight w:val="white"/>
        </w:rPr>
      </w:pPr>
    </w:p>
    <w:p w14:paraId="51B1D279" w14:textId="772E5D78" w:rsidR="00810245" w:rsidRDefault="00810245">
      <w:pPr>
        <w:jc w:val="both"/>
        <w:rPr>
          <w:color w:val="000000"/>
          <w:sz w:val="22"/>
          <w:szCs w:val="22"/>
          <w:highlight w:val="white"/>
        </w:rPr>
      </w:pPr>
      <w:r>
        <w:rPr>
          <w:color w:val="000000"/>
          <w:sz w:val="22"/>
          <w:szCs w:val="22"/>
          <w:highlight w:val="white"/>
        </w:rPr>
        <w:t xml:space="preserve">Es pertinente también revisar las cifras de </w:t>
      </w:r>
      <w:r w:rsidR="007D1D16">
        <w:rPr>
          <w:color w:val="000000"/>
          <w:sz w:val="22"/>
          <w:szCs w:val="22"/>
          <w:highlight w:val="white"/>
        </w:rPr>
        <w:t xml:space="preserve">dispuestas en el Observatorio de Salud </w:t>
      </w:r>
      <w:r w:rsidR="00457FD1">
        <w:rPr>
          <w:color w:val="000000"/>
          <w:sz w:val="22"/>
          <w:szCs w:val="22"/>
          <w:highlight w:val="white"/>
        </w:rPr>
        <w:t>(</w:t>
      </w:r>
      <w:r w:rsidR="007D1D16">
        <w:rPr>
          <w:color w:val="000000"/>
          <w:sz w:val="22"/>
          <w:szCs w:val="22"/>
          <w:highlight w:val="white"/>
        </w:rPr>
        <w:t>S</w:t>
      </w:r>
      <w:r w:rsidR="00457FD1">
        <w:rPr>
          <w:color w:val="000000"/>
          <w:sz w:val="22"/>
          <w:szCs w:val="22"/>
          <w:highlight w:val="white"/>
        </w:rPr>
        <w:t>ALUDATA)</w:t>
      </w:r>
      <w:r w:rsidR="007D1D16">
        <w:rPr>
          <w:color w:val="000000"/>
          <w:sz w:val="22"/>
          <w:szCs w:val="22"/>
          <w:highlight w:val="white"/>
        </w:rPr>
        <w:t xml:space="preserve">, en donde se puede evidenciar que la ideación suicida en la población gestante ha venido en aumento desde el 2019 hasta el 2023, en donde se registró el siguiente comportamiento: </w:t>
      </w:r>
    </w:p>
    <w:p w14:paraId="00FBE93F" w14:textId="48C4AD45" w:rsidR="007D1D16" w:rsidRDefault="007D1D16">
      <w:pPr>
        <w:jc w:val="both"/>
        <w:rPr>
          <w:color w:val="000000"/>
          <w:sz w:val="22"/>
          <w:szCs w:val="22"/>
          <w:highlight w:val="white"/>
        </w:rPr>
      </w:pPr>
    </w:p>
    <w:p w14:paraId="3C380077" w14:textId="4B76AB3F" w:rsidR="00457FD1" w:rsidRDefault="00457FD1">
      <w:pPr>
        <w:rPr>
          <w:color w:val="000000"/>
          <w:sz w:val="22"/>
          <w:szCs w:val="22"/>
          <w:highlight w:val="white"/>
        </w:rPr>
      </w:pPr>
      <w:r>
        <w:rPr>
          <w:color w:val="000000"/>
          <w:sz w:val="22"/>
          <w:szCs w:val="22"/>
          <w:highlight w:val="white"/>
        </w:rPr>
        <w:br w:type="page"/>
      </w:r>
    </w:p>
    <w:p w14:paraId="22947DCF" w14:textId="1F378047" w:rsidR="00457FD1" w:rsidRPr="00F00EBA" w:rsidRDefault="00457FD1">
      <w:pPr>
        <w:jc w:val="both"/>
        <w:rPr>
          <w:b/>
          <w:color w:val="000000"/>
          <w:sz w:val="22"/>
          <w:szCs w:val="22"/>
          <w:highlight w:val="white"/>
        </w:rPr>
      </w:pPr>
      <w:r w:rsidRPr="00F00EBA">
        <w:rPr>
          <w:b/>
          <w:color w:val="000000"/>
          <w:sz w:val="22"/>
          <w:szCs w:val="22"/>
          <w:highlight w:val="white"/>
        </w:rPr>
        <w:t xml:space="preserve">Figura 1 </w:t>
      </w:r>
    </w:p>
    <w:p w14:paraId="2F40D446" w14:textId="77777777" w:rsidR="00457FD1" w:rsidRDefault="00457FD1">
      <w:pPr>
        <w:jc w:val="both"/>
        <w:rPr>
          <w:color w:val="000000"/>
          <w:sz w:val="22"/>
          <w:szCs w:val="22"/>
          <w:highlight w:val="white"/>
        </w:rPr>
      </w:pPr>
    </w:p>
    <w:p w14:paraId="267D3442" w14:textId="0D5C0BA5" w:rsidR="00457FD1" w:rsidRPr="00457FD1" w:rsidRDefault="00457FD1">
      <w:pPr>
        <w:jc w:val="both"/>
        <w:rPr>
          <w:i/>
          <w:color w:val="000000"/>
          <w:sz w:val="22"/>
          <w:szCs w:val="22"/>
          <w:highlight w:val="white"/>
        </w:rPr>
      </w:pPr>
      <w:r w:rsidRPr="00457FD1">
        <w:rPr>
          <w:i/>
          <w:color w:val="000000"/>
          <w:sz w:val="22"/>
          <w:szCs w:val="22"/>
          <w:highlight w:val="white"/>
        </w:rPr>
        <w:t xml:space="preserve">Casos de ideación suicida </w:t>
      </w:r>
    </w:p>
    <w:p w14:paraId="54387BDA" w14:textId="0A3EB889" w:rsidR="007D1D16" w:rsidRDefault="007D1D16">
      <w:pPr>
        <w:jc w:val="both"/>
        <w:rPr>
          <w:color w:val="000000"/>
          <w:sz w:val="22"/>
          <w:szCs w:val="22"/>
          <w:highlight w:val="white"/>
        </w:rPr>
      </w:pPr>
      <w:r>
        <w:rPr>
          <w:noProof/>
          <w:color w:val="000000"/>
          <w:sz w:val="22"/>
          <w:szCs w:val="22"/>
          <w:lang w:val="es-419" w:eastAsia="es-419"/>
        </w:rPr>
        <w:drawing>
          <wp:inline distT="0" distB="0" distL="0" distR="0" wp14:anchorId="66166427" wp14:editId="70D4E056">
            <wp:extent cx="5486400" cy="3324225"/>
            <wp:effectExtent l="0" t="0" r="0" b="9525"/>
            <wp:docPr id="3"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33A1C8A" w14:textId="70FCC123" w:rsidR="00E14DEE" w:rsidRPr="00E14DEE" w:rsidRDefault="00E14DEE">
      <w:pPr>
        <w:jc w:val="both"/>
        <w:rPr>
          <w:i/>
          <w:color w:val="000000"/>
          <w:sz w:val="22"/>
          <w:szCs w:val="22"/>
          <w:highlight w:val="white"/>
        </w:rPr>
      </w:pPr>
      <w:r w:rsidRPr="00E14DEE">
        <w:rPr>
          <w:i/>
          <w:color w:val="000000"/>
          <w:sz w:val="22"/>
          <w:szCs w:val="22"/>
          <w:highlight w:val="white"/>
        </w:rPr>
        <w:t xml:space="preserve">Nota. </w:t>
      </w:r>
      <w:r>
        <w:rPr>
          <w:i/>
          <w:color w:val="000000"/>
          <w:sz w:val="22"/>
          <w:szCs w:val="22"/>
          <w:highlight w:val="white"/>
        </w:rPr>
        <w:t xml:space="preserve">Elaboración propia </w:t>
      </w:r>
      <w:r w:rsidR="00496155">
        <w:rPr>
          <w:i/>
          <w:color w:val="000000"/>
          <w:sz w:val="22"/>
          <w:szCs w:val="22"/>
          <w:highlight w:val="white"/>
        </w:rPr>
        <w:t xml:space="preserve">a partir de la información reportada en Saludata sobre ideación suicida. </w:t>
      </w:r>
    </w:p>
    <w:p w14:paraId="2AE602CE" w14:textId="67A3FAD0" w:rsidR="00810245" w:rsidRDefault="00810245">
      <w:pPr>
        <w:jc w:val="both"/>
        <w:rPr>
          <w:i/>
          <w:color w:val="000000"/>
          <w:sz w:val="22"/>
          <w:szCs w:val="22"/>
          <w:highlight w:val="white"/>
        </w:rPr>
      </w:pPr>
    </w:p>
    <w:p w14:paraId="18D9F0CE" w14:textId="6F2EFB51" w:rsidR="007D1D16" w:rsidRDefault="007D1D16">
      <w:pPr>
        <w:jc w:val="both"/>
        <w:rPr>
          <w:color w:val="000000"/>
          <w:sz w:val="22"/>
          <w:szCs w:val="22"/>
          <w:highlight w:val="white"/>
        </w:rPr>
      </w:pPr>
      <w:r>
        <w:rPr>
          <w:color w:val="000000"/>
          <w:sz w:val="22"/>
          <w:szCs w:val="22"/>
          <w:highlight w:val="white"/>
        </w:rPr>
        <w:t xml:space="preserve">Como se puede evidenciar, entre el 2019 y el 2023 la ideación suicida para el grupo poblacional gestantes aumentó un 8%, equivalente a 13 casos. </w:t>
      </w:r>
    </w:p>
    <w:p w14:paraId="786C3ACC" w14:textId="6B4BB4AD" w:rsidR="007D1D16" w:rsidRDefault="007D1D16">
      <w:pPr>
        <w:jc w:val="both"/>
        <w:rPr>
          <w:color w:val="000000"/>
          <w:sz w:val="22"/>
          <w:szCs w:val="22"/>
          <w:highlight w:val="white"/>
        </w:rPr>
      </w:pPr>
    </w:p>
    <w:p w14:paraId="525F35A0" w14:textId="5BBE9CFB" w:rsidR="00E14DEE" w:rsidRDefault="00A13100">
      <w:pPr>
        <w:jc w:val="both"/>
        <w:rPr>
          <w:color w:val="000000"/>
          <w:sz w:val="22"/>
          <w:szCs w:val="22"/>
          <w:highlight w:val="white"/>
        </w:rPr>
      </w:pPr>
      <w:r>
        <w:rPr>
          <w:color w:val="000000"/>
          <w:sz w:val="22"/>
          <w:szCs w:val="22"/>
          <w:highlight w:val="white"/>
        </w:rPr>
        <w:t>Ahora bien, al revisar por intento de suicidio en este grupo poblacional se evidencia también un comportamiento al alza del 31% entre el 2019 y el 2023, pasando de 29 a 38 casos, como se observa en la siguiente gráfica:</w:t>
      </w:r>
    </w:p>
    <w:p w14:paraId="3A991E27" w14:textId="44DF2A45" w:rsidR="00457FD1" w:rsidRDefault="00457FD1">
      <w:pPr>
        <w:rPr>
          <w:color w:val="000000"/>
          <w:sz w:val="22"/>
          <w:szCs w:val="22"/>
          <w:highlight w:val="white"/>
        </w:rPr>
      </w:pPr>
      <w:r>
        <w:rPr>
          <w:color w:val="000000"/>
          <w:sz w:val="22"/>
          <w:szCs w:val="22"/>
          <w:highlight w:val="white"/>
        </w:rPr>
        <w:br w:type="page"/>
      </w:r>
    </w:p>
    <w:p w14:paraId="0FAB17CF" w14:textId="3FBB0AA2" w:rsidR="00457FD1" w:rsidRPr="00F00EBA" w:rsidRDefault="00457FD1" w:rsidP="00457FD1">
      <w:pPr>
        <w:jc w:val="both"/>
        <w:rPr>
          <w:b/>
          <w:color w:val="000000"/>
          <w:sz w:val="22"/>
          <w:szCs w:val="22"/>
          <w:highlight w:val="white"/>
        </w:rPr>
      </w:pPr>
      <w:r w:rsidRPr="00F00EBA">
        <w:rPr>
          <w:b/>
          <w:color w:val="000000"/>
          <w:sz w:val="22"/>
          <w:szCs w:val="22"/>
          <w:highlight w:val="white"/>
        </w:rPr>
        <w:t xml:space="preserve">Figura 2 </w:t>
      </w:r>
    </w:p>
    <w:p w14:paraId="31BD1C25" w14:textId="77777777" w:rsidR="00457FD1" w:rsidRDefault="00457FD1" w:rsidP="00457FD1">
      <w:pPr>
        <w:jc w:val="both"/>
        <w:rPr>
          <w:color w:val="000000"/>
          <w:sz w:val="22"/>
          <w:szCs w:val="22"/>
          <w:highlight w:val="white"/>
        </w:rPr>
      </w:pPr>
    </w:p>
    <w:p w14:paraId="3EED76E8" w14:textId="3B9E0309" w:rsidR="00457FD1" w:rsidRPr="00457FD1" w:rsidRDefault="00457FD1" w:rsidP="00457FD1">
      <w:pPr>
        <w:jc w:val="both"/>
        <w:rPr>
          <w:i/>
          <w:color w:val="000000"/>
          <w:sz w:val="22"/>
          <w:szCs w:val="22"/>
          <w:highlight w:val="white"/>
        </w:rPr>
      </w:pPr>
      <w:r w:rsidRPr="00457FD1">
        <w:rPr>
          <w:i/>
          <w:color w:val="000000"/>
          <w:sz w:val="22"/>
          <w:szCs w:val="22"/>
          <w:highlight w:val="white"/>
        </w:rPr>
        <w:t xml:space="preserve">Casos de </w:t>
      </w:r>
      <w:r>
        <w:rPr>
          <w:i/>
          <w:color w:val="000000"/>
          <w:sz w:val="22"/>
          <w:szCs w:val="22"/>
          <w:highlight w:val="white"/>
        </w:rPr>
        <w:t xml:space="preserve">intento de suicidio </w:t>
      </w:r>
      <w:r w:rsidRPr="00457FD1">
        <w:rPr>
          <w:i/>
          <w:color w:val="000000"/>
          <w:sz w:val="22"/>
          <w:szCs w:val="22"/>
          <w:highlight w:val="white"/>
        </w:rPr>
        <w:t xml:space="preserve"> </w:t>
      </w:r>
    </w:p>
    <w:p w14:paraId="406577A0" w14:textId="77777777" w:rsidR="00A13100" w:rsidRDefault="00A13100">
      <w:pPr>
        <w:jc w:val="both"/>
        <w:rPr>
          <w:color w:val="000000"/>
          <w:sz w:val="22"/>
          <w:szCs w:val="22"/>
          <w:highlight w:val="white"/>
        </w:rPr>
      </w:pPr>
    </w:p>
    <w:p w14:paraId="268597B2" w14:textId="595AA19C" w:rsidR="00A13100" w:rsidRDefault="00A13100">
      <w:pPr>
        <w:jc w:val="both"/>
        <w:rPr>
          <w:color w:val="000000"/>
          <w:sz w:val="22"/>
          <w:szCs w:val="22"/>
          <w:highlight w:val="white"/>
        </w:rPr>
      </w:pPr>
      <w:r>
        <w:rPr>
          <w:noProof/>
          <w:color w:val="000000"/>
          <w:sz w:val="22"/>
          <w:szCs w:val="22"/>
          <w:lang w:val="es-419" w:eastAsia="es-419"/>
        </w:rPr>
        <w:drawing>
          <wp:inline distT="0" distB="0" distL="0" distR="0" wp14:anchorId="04F6CCCB" wp14:editId="44DE72D9">
            <wp:extent cx="5486400" cy="3200400"/>
            <wp:effectExtent l="0" t="0" r="0" b="0"/>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3E08C48" w14:textId="77777777" w:rsidR="00A13100" w:rsidRPr="00E14DEE" w:rsidRDefault="00A13100" w:rsidP="00A13100">
      <w:pPr>
        <w:jc w:val="both"/>
        <w:rPr>
          <w:i/>
          <w:color w:val="000000"/>
          <w:sz w:val="22"/>
          <w:szCs w:val="22"/>
          <w:highlight w:val="white"/>
        </w:rPr>
      </w:pPr>
      <w:r w:rsidRPr="00E14DEE">
        <w:rPr>
          <w:i/>
          <w:color w:val="000000"/>
          <w:sz w:val="22"/>
          <w:szCs w:val="22"/>
          <w:highlight w:val="white"/>
        </w:rPr>
        <w:t xml:space="preserve">Nota. </w:t>
      </w:r>
      <w:r>
        <w:rPr>
          <w:i/>
          <w:color w:val="000000"/>
          <w:sz w:val="22"/>
          <w:szCs w:val="22"/>
          <w:highlight w:val="white"/>
        </w:rPr>
        <w:t xml:space="preserve">Elaboración propia a partir de la información reportada en Saludata sobre ideación suicida. </w:t>
      </w:r>
    </w:p>
    <w:p w14:paraId="73BD84C4" w14:textId="37E73A4D" w:rsidR="00810245" w:rsidRDefault="00810245">
      <w:pPr>
        <w:jc w:val="both"/>
        <w:rPr>
          <w:i/>
          <w:color w:val="000000"/>
          <w:sz w:val="22"/>
          <w:szCs w:val="22"/>
          <w:highlight w:val="white"/>
        </w:rPr>
      </w:pPr>
    </w:p>
    <w:p w14:paraId="3CB46122" w14:textId="6438EBDD" w:rsidR="00457FD1" w:rsidRPr="00457FD1" w:rsidRDefault="00457FD1">
      <w:pPr>
        <w:jc w:val="both"/>
        <w:rPr>
          <w:color w:val="000000"/>
          <w:sz w:val="22"/>
          <w:szCs w:val="22"/>
          <w:highlight w:val="white"/>
        </w:rPr>
      </w:pPr>
      <w:r>
        <w:rPr>
          <w:color w:val="000000"/>
          <w:sz w:val="22"/>
          <w:szCs w:val="22"/>
          <w:highlight w:val="white"/>
        </w:rPr>
        <w:t>De acuerdo con la figura 2 preocupa que los casos de intento de suicidio estén en aumento en Bogotá.</w:t>
      </w:r>
    </w:p>
    <w:p w14:paraId="4CC5735D" w14:textId="77777777" w:rsidR="00457FD1" w:rsidRDefault="00457FD1">
      <w:pPr>
        <w:jc w:val="both"/>
        <w:rPr>
          <w:i/>
          <w:color w:val="000000"/>
          <w:sz w:val="22"/>
          <w:szCs w:val="22"/>
          <w:highlight w:val="white"/>
        </w:rPr>
      </w:pPr>
    </w:p>
    <w:p w14:paraId="704E2F5D" w14:textId="77777777" w:rsidR="003B4DFE" w:rsidRDefault="009E6D93">
      <w:pPr>
        <w:jc w:val="both"/>
        <w:rPr>
          <w:color w:val="000000"/>
          <w:sz w:val="22"/>
          <w:szCs w:val="22"/>
          <w:highlight w:val="white"/>
        </w:rPr>
      </w:pPr>
      <w:r>
        <w:rPr>
          <w:color w:val="000000"/>
          <w:sz w:val="22"/>
          <w:szCs w:val="22"/>
          <w:highlight w:val="white"/>
        </w:rPr>
        <w:t xml:space="preserve">Cabe señalar que el Ministerio de Salud ha dicho que la salud materna debe ser tratada de manera integral </w:t>
      </w:r>
      <w:r w:rsidRPr="4DEEDB9B">
        <w:rPr>
          <w:i/>
          <w:iCs/>
          <w:color w:val="000000"/>
          <w:sz w:val="22"/>
          <w:szCs w:val="22"/>
          <w:highlight w:val="white"/>
        </w:rPr>
        <w:t>“teniendo en cuenta los enfoques de derechos, género, diferencial y curso de vida antes, durante y después del evento obstétrico como estrategia del componente de prevención y atención integral (…) Reconociendo la salud materna no solo como la ausencia de enfermedades durante el embarazo, parto y postparto, sino que la mujer gestante pueda disfrutar​ del más alto nivel de bienestar físico, mental y social, para​ vivir y afrontar su maternidad dignamente”</w:t>
      </w:r>
      <w:r w:rsidRPr="4DEEDB9B">
        <w:rPr>
          <w:i/>
          <w:iCs/>
          <w:color w:val="000000"/>
          <w:sz w:val="22"/>
          <w:szCs w:val="22"/>
          <w:highlight w:val="white"/>
          <w:vertAlign w:val="superscript"/>
        </w:rPr>
        <w:footnoteReference w:id="12"/>
      </w:r>
      <w:r>
        <w:rPr>
          <w:color w:val="000000"/>
          <w:sz w:val="22"/>
          <w:szCs w:val="22"/>
          <w:highlight w:val="white"/>
        </w:rPr>
        <w:t xml:space="preserve">. Así las cosas, se debe resaltar la importancia de la atención psicológica durante y después del embarazo, aspecto que hoy se debe consolidar y fortalecer en Bogotá. </w:t>
      </w:r>
    </w:p>
    <w:p w14:paraId="62199465" w14:textId="77777777" w:rsidR="003B4DFE" w:rsidRDefault="003B4DFE">
      <w:pPr>
        <w:jc w:val="both"/>
        <w:rPr>
          <w:color w:val="000000"/>
          <w:sz w:val="22"/>
          <w:szCs w:val="22"/>
          <w:highlight w:val="white"/>
        </w:rPr>
      </w:pPr>
    </w:p>
    <w:p w14:paraId="1C948598" w14:textId="7E3692D3" w:rsidR="003B4DFE" w:rsidRDefault="009E6D93">
      <w:pPr>
        <w:jc w:val="both"/>
        <w:rPr>
          <w:color w:val="000000"/>
          <w:sz w:val="22"/>
          <w:szCs w:val="22"/>
        </w:rPr>
      </w:pPr>
      <w:r>
        <w:rPr>
          <w:color w:val="000000"/>
          <w:sz w:val="22"/>
          <w:szCs w:val="22"/>
        </w:rPr>
        <w:t>En el Distrito Capital, desde el 2016 se ha implementado la Ruta Integral de Atenciones para la Primera Infancia (RIAPI), en el marco de la Estrategia Nacional de Cero a Siempre, la cual contempla la atención desde el momento de la gestación. En un informe presentado por la Veeduría Distrital en agosto del 2019, se menciona que el propósito de la RIAPI no es crear nuevos servicios de atención, sino que busca integrar y coordinar los programas actuales de todas las entidades del Distrito que tienen el objetivo de atender directamente a mujeres gestantes o a niños menores de seis años</w:t>
      </w:r>
      <w:r>
        <w:rPr>
          <w:color w:val="000000"/>
          <w:sz w:val="22"/>
          <w:szCs w:val="22"/>
          <w:vertAlign w:val="superscript"/>
        </w:rPr>
        <w:footnoteReference w:id="13"/>
      </w:r>
      <w:r>
        <w:rPr>
          <w:color w:val="000000"/>
          <w:sz w:val="22"/>
          <w:szCs w:val="22"/>
        </w:rPr>
        <w:t xml:space="preserve">. Esto hace que sea necesario que se fortalezca la atención psicológica, pues dentro de las 28 atenciones que son brindadas por la RIAPI no se encuentra como una prioridad la salud mental de la madre pues, a pesar de que se busca brindar atención y acompañamiento en los diferentes momentos del transcurso vital para satisfacer las necesidades de los niños en sus cinco etapas: i) preconcepción; ii) gestación; iii) nacimiento a primer mes; iv) primer mes a tres años; y v) tres años a cinco años y once meses, no existe un enfoque o un programa en el distrito que contemple solamente el acompañamiento y atención especializada de la salud psicológica de la madre durante y después del embarazo. En la </w:t>
      </w:r>
      <w:r w:rsidR="00D737A7">
        <w:rPr>
          <w:color w:val="000000"/>
          <w:sz w:val="22"/>
          <w:szCs w:val="22"/>
        </w:rPr>
        <w:t>figura 3</w:t>
      </w:r>
      <w:r>
        <w:rPr>
          <w:color w:val="000000"/>
          <w:sz w:val="22"/>
          <w:szCs w:val="22"/>
        </w:rPr>
        <w:t xml:space="preserve"> se muestra la Ruta Integral de Atenciones organizada por momentos vitales; donde se puede evidenciar la poca atención en cuanto a la salud mental de la madre: </w:t>
      </w:r>
    </w:p>
    <w:p w14:paraId="0DA123B1" w14:textId="77777777" w:rsidR="003B4DFE" w:rsidRDefault="003B4DFE">
      <w:pPr>
        <w:jc w:val="both"/>
        <w:rPr>
          <w:b/>
          <w:color w:val="000000"/>
          <w:sz w:val="22"/>
          <w:szCs w:val="22"/>
        </w:rPr>
      </w:pPr>
    </w:p>
    <w:p w14:paraId="6F3A82EA" w14:textId="67E983C1" w:rsidR="003B4DFE" w:rsidRDefault="00D737A7">
      <w:pPr>
        <w:jc w:val="both"/>
        <w:rPr>
          <w:b/>
          <w:color w:val="000000"/>
          <w:sz w:val="22"/>
          <w:szCs w:val="22"/>
        </w:rPr>
      </w:pPr>
      <w:r>
        <w:rPr>
          <w:b/>
          <w:color w:val="000000"/>
          <w:sz w:val="22"/>
          <w:szCs w:val="22"/>
        </w:rPr>
        <w:t>Figura 3</w:t>
      </w:r>
    </w:p>
    <w:p w14:paraId="41004F19" w14:textId="77777777" w:rsidR="003B4DFE" w:rsidRDefault="003B4DFE">
      <w:pPr>
        <w:jc w:val="both"/>
        <w:rPr>
          <w:b/>
          <w:color w:val="000000"/>
          <w:sz w:val="22"/>
          <w:szCs w:val="22"/>
        </w:rPr>
      </w:pPr>
    </w:p>
    <w:p w14:paraId="7A4310D6" w14:textId="77777777" w:rsidR="003B4DFE" w:rsidRDefault="009E6D93">
      <w:pPr>
        <w:jc w:val="both"/>
        <w:rPr>
          <w:i/>
          <w:color w:val="000000"/>
          <w:sz w:val="22"/>
          <w:szCs w:val="22"/>
        </w:rPr>
      </w:pPr>
      <w:r>
        <w:rPr>
          <w:i/>
          <w:sz w:val="22"/>
          <w:szCs w:val="22"/>
        </w:rPr>
        <w:t>Ruta Integral de Atenciones organizada por momentos vitales</w:t>
      </w:r>
    </w:p>
    <w:p w14:paraId="67C0C651" w14:textId="77777777" w:rsidR="003B4DFE" w:rsidRDefault="003B4DFE">
      <w:pPr>
        <w:jc w:val="both"/>
        <w:rPr>
          <w:color w:val="000000"/>
          <w:sz w:val="22"/>
          <w:szCs w:val="22"/>
        </w:rPr>
      </w:pPr>
    </w:p>
    <w:p w14:paraId="308D56CC" w14:textId="77777777" w:rsidR="003B4DFE" w:rsidRDefault="003B4DFE">
      <w:pPr>
        <w:jc w:val="both"/>
        <w:rPr>
          <w:color w:val="000000"/>
          <w:sz w:val="22"/>
          <w:szCs w:val="22"/>
        </w:rPr>
      </w:pPr>
    </w:p>
    <w:p w14:paraId="18165F75" w14:textId="77777777" w:rsidR="003B4DFE" w:rsidRDefault="009E6D93">
      <w:pPr>
        <w:jc w:val="both"/>
        <w:rPr>
          <w:color w:val="000000"/>
          <w:sz w:val="22"/>
          <w:szCs w:val="22"/>
        </w:rPr>
      </w:pPr>
      <w:r>
        <w:rPr>
          <w:noProof/>
          <w:lang w:val="es-419" w:eastAsia="es-419"/>
        </w:rPr>
        <w:drawing>
          <wp:anchor distT="0" distB="0" distL="114300" distR="114300" simplePos="0" relativeHeight="251658240" behindDoc="0" locked="0" layoutInCell="1" hidden="0" allowOverlap="1" wp14:anchorId="38CDA727" wp14:editId="07777777">
            <wp:simplePos x="0" y="0"/>
            <wp:positionH relativeFrom="column">
              <wp:posOffset>714794</wp:posOffset>
            </wp:positionH>
            <wp:positionV relativeFrom="paragraph">
              <wp:posOffset>-85116</wp:posOffset>
            </wp:positionV>
            <wp:extent cx="4183811" cy="3284575"/>
            <wp:effectExtent l="12700" t="12700" r="12700" b="12700"/>
            <wp:wrapNone/>
            <wp:docPr id="2" name="image1.png" descr="Fuente: elaborada por la Veeduría Distrital con base en la Mesa Integral de Atenciones para la Primera Infancia&#10;(2018).&#10;"/>
            <wp:cNvGraphicFramePr/>
            <a:graphic xmlns:a="http://schemas.openxmlformats.org/drawingml/2006/main">
              <a:graphicData uri="http://schemas.openxmlformats.org/drawingml/2006/picture">
                <pic:pic xmlns:pic="http://schemas.openxmlformats.org/drawingml/2006/picture">
                  <pic:nvPicPr>
                    <pic:cNvPr id="0" name="image1.png" descr="Fuente: elaborada por la Veeduría Distrital con base en la Mesa Integral de Atenciones para la Primera Infancia&#10;(2018).&#10;"/>
                    <pic:cNvPicPr preferRelativeResize="0"/>
                  </pic:nvPicPr>
                  <pic:blipFill>
                    <a:blip r:embed="rId12"/>
                    <a:srcRect/>
                    <a:stretch>
                      <a:fillRect/>
                    </a:stretch>
                  </pic:blipFill>
                  <pic:spPr>
                    <a:xfrm>
                      <a:off x="0" y="0"/>
                      <a:ext cx="4183811" cy="3284575"/>
                    </a:xfrm>
                    <a:prstGeom prst="rect">
                      <a:avLst/>
                    </a:prstGeom>
                    <a:ln w="12700">
                      <a:solidFill>
                        <a:srgbClr val="000000"/>
                      </a:solidFill>
                      <a:prstDash val="solid"/>
                    </a:ln>
                  </pic:spPr>
                </pic:pic>
              </a:graphicData>
            </a:graphic>
          </wp:anchor>
        </w:drawing>
      </w:r>
    </w:p>
    <w:p w14:paraId="797E50C6" w14:textId="77777777" w:rsidR="003B4DFE" w:rsidRDefault="003B4DFE">
      <w:pPr>
        <w:jc w:val="both"/>
        <w:rPr>
          <w:color w:val="000000"/>
          <w:sz w:val="22"/>
          <w:szCs w:val="22"/>
        </w:rPr>
      </w:pPr>
    </w:p>
    <w:p w14:paraId="7B04FA47" w14:textId="77777777" w:rsidR="003B4DFE" w:rsidRDefault="003B4DFE">
      <w:pPr>
        <w:jc w:val="both"/>
        <w:rPr>
          <w:color w:val="000000"/>
          <w:sz w:val="22"/>
          <w:szCs w:val="22"/>
        </w:rPr>
      </w:pPr>
    </w:p>
    <w:p w14:paraId="568C698B" w14:textId="77777777" w:rsidR="003B4DFE" w:rsidRDefault="003B4DFE">
      <w:pPr>
        <w:jc w:val="both"/>
        <w:rPr>
          <w:color w:val="000000"/>
          <w:sz w:val="22"/>
          <w:szCs w:val="22"/>
        </w:rPr>
      </w:pPr>
    </w:p>
    <w:p w14:paraId="1A939487" w14:textId="77777777" w:rsidR="003B4DFE" w:rsidRDefault="003B4DFE">
      <w:pPr>
        <w:jc w:val="both"/>
        <w:rPr>
          <w:color w:val="000000"/>
          <w:sz w:val="22"/>
          <w:szCs w:val="22"/>
        </w:rPr>
      </w:pPr>
    </w:p>
    <w:p w14:paraId="6AA258D8" w14:textId="77777777" w:rsidR="003B4DFE" w:rsidRDefault="003B4DFE">
      <w:pPr>
        <w:jc w:val="both"/>
        <w:rPr>
          <w:color w:val="000000"/>
          <w:sz w:val="22"/>
          <w:szCs w:val="22"/>
        </w:rPr>
      </w:pPr>
    </w:p>
    <w:p w14:paraId="6FFBD3EC" w14:textId="77777777" w:rsidR="003B4DFE" w:rsidRDefault="003B4DFE">
      <w:pPr>
        <w:jc w:val="both"/>
        <w:rPr>
          <w:color w:val="000000"/>
          <w:sz w:val="22"/>
          <w:szCs w:val="22"/>
        </w:rPr>
      </w:pPr>
    </w:p>
    <w:p w14:paraId="30DCCCAD" w14:textId="77777777" w:rsidR="003B4DFE" w:rsidRDefault="003B4DFE">
      <w:pPr>
        <w:jc w:val="both"/>
        <w:rPr>
          <w:color w:val="000000"/>
          <w:sz w:val="22"/>
          <w:szCs w:val="22"/>
        </w:rPr>
      </w:pPr>
    </w:p>
    <w:p w14:paraId="36AF6883" w14:textId="77777777" w:rsidR="003B4DFE" w:rsidRDefault="003B4DFE">
      <w:pPr>
        <w:jc w:val="both"/>
        <w:rPr>
          <w:color w:val="000000"/>
          <w:sz w:val="22"/>
          <w:szCs w:val="22"/>
        </w:rPr>
      </w:pPr>
    </w:p>
    <w:p w14:paraId="54C529ED" w14:textId="77777777" w:rsidR="003B4DFE" w:rsidRDefault="003B4DFE">
      <w:pPr>
        <w:jc w:val="both"/>
        <w:rPr>
          <w:color w:val="000000"/>
          <w:sz w:val="22"/>
          <w:szCs w:val="22"/>
        </w:rPr>
      </w:pPr>
    </w:p>
    <w:p w14:paraId="1C0157D6" w14:textId="77777777" w:rsidR="003B4DFE" w:rsidRDefault="003B4DFE">
      <w:pPr>
        <w:jc w:val="both"/>
        <w:rPr>
          <w:color w:val="000000"/>
          <w:sz w:val="22"/>
          <w:szCs w:val="22"/>
        </w:rPr>
      </w:pPr>
    </w:p>
    <w:p w14:paraId="3691E7B2" w14:textId="77777777" w:rsidR="003B4DFE" w:rsidRDefault="003B4DFE">
      <w:pPr>
        <w:jc w:val="both"/>
        <w:rPr>
          <w:color w:val="000000"/>
          <w:sz w:val="22"/>
          <w:szCs w:val="22"/>
        </w:rPr>
      </w:pPr>
    </w:p>
    <w:p w14:paraId="526770CE" w14:textId="77777777" w:rsidR="003B4DFE" w:rsidRDefault="003B4DFE">
      <w:pPr>
        <w:jc w:val="both"/>
        <w:rPr>
          <w:color w:val="000000"/>
          <w:sz w:val="22"/>
          <w:szCs w:val="22"/>
        </w:rPr>
      </w:pPr>
    </w:p>
    <w:p w14:paraId="7CBEED82" w14:textId="77777777" w:rsidR="003B4DFE" w:rsidRDefault="003B4DFE">
      <w:pPr>
        <w:jc w:val="both"/>
        <w:rPr>
          <w:color w:val="000000"/>
          <w:sz w:val="22"/>
          <w:szCs w:val="22"/>
        </w:rPr>
      </w:pPr>
    </w:p>
    <w:p w14:paraId="6E36661F" w14:textId="77777777" w:rsidR="003B4DFE" w:rsidRDefault="003B4DFE">
      <w:pPr>
        <w:jc w:val="both"/>
        <w:rPr>
          <w:color w:val="000000"/>
          <w:sz w:val="22"/>
          <w:szCs w:val="22"/>
        </w:rPr>
      </w:pPr>
    </w:p>
    <w:p w14:paraId="38645DC7" w14:textId="77777777" w:rsidR="003B4DFE" w:rsidRDefault="003B4DFE">
      <w:pPr>
        <w:jc w:val="both"/>
        <w:rPr>
          <w:color w:val="000000"/>
          <w:sz w:val="22"/>
          <w:szCs w:val="22"/>
        </w:rPr>
      </w:pPr>
    </w:p>
    <w:p w14:paraId="135E58C4" w14:textId="77777777" w:rsidR="003B4DFE" w:rsidRDefault="003B4DFE">
      <w:pPr>
        <w:jc w:val="center"/>
        <w:rPr>
          <w:color w:val="000000"/>
          <w:sz w:val="22"/>
          <w:szCs w:val="22"/>
        </w:rPr>
      </w:pPr>
    </w:p>
    <w:p w14:paraId="62EBF9A1" w14:textId="77777777" w:rsidR="003B4DFE" w:rsidRDefault="003B4DFE">
      <w:pPr>
        <w:jc w:val="center"/>
        <w:rPr>
          <w:color w:val="000000"/>
          <w:sz w:val="22"/>
          <w:szCs w:val="22"/>
        </w:rPr>
      </w:pPr>
    </w:p>
    <w:p w14:paraId="0C6C2CD5" w14:textId="77777777" w:rsidR="003B4DFE" w:rsidRDefault="003B4DFE">
      <w:pPr>
        <w:jc w:val="center"/>
        <w:rPr>
          <w:color w:val="000000"/>
          <w:sz w:val="22"/>
          <w:szCs w:val="22"/>
        </w:rPr>
      </w:pPr>
    </w:p>
    <w:p w14:paraId="709E88E4" w14:textId="77777777" w:rsidR="003B4DFE" w:rsidRDefault="003B4DFE">
      <w:pPr>
        <w:jc w:val="center"/>
        <w:rPr>
          <w:color w:val="000000"/>
          <w:sz w:val="22"/>
          <w:szCs w:val="22"/>
        </w:rPr>
      </w:pPr>
    </w:p>
    <w:p w14:paraId="1CA09CC2" w14:textId="77777777" w:rsidR="003B4DFE" w:rsidRDefault="009E6D93" w:rsidP="00F72C5E">
      <w:pPr>
        <w:rPr>
          <w:color w:val="000000"/>
          <w:sz w:val="22"/>
          <w:szCs w:val="22"/>
        </w:rPr>
      </w:pPr>
      <w:r>
        <w:rPr>
          <w:i/>
          <w:color w:val="000000"/>
          <w:sz w:val="22"/>
          <w:szCs w:val="22"/>
        </w:rPr>
        <w:t>Nota.</w:t>
      </w:r>
      <w:r>
        <w:rPr>
          <w:color w:val="000000"/>
          <w:sz w:val="22"/>
          <w:szCs w:val="22"/>
        </w:rPr>
        <w:t xml:space="preserve"> Elaborada por la Veeduría Distrital con base en la Mesa Integral de Atenciones para la Primera Infancia (2018).</w:t>
      </w:r>
    </w:p>
    <w:p w14:paraId="508C98E9" w14:textId="77777777" w:rsidR="003B4DFE" w:rsidRDefault="003B4DFE">
      <w:pPr>
        <w:jc w:val="both"/>
        <w:rPr>
          <w:color w:val="000000"/>
          <w:sz w:val="22"/>
          <w:szCs w:val="22"/>
        </w:rPr>
      </w:pPr>
    </w:p>
    <w:p w14:paraId="30F4524F" w14:textId="77777777" w:rsidR="003B4DFE" w:rsidRDefault="009E6D93">
      <w:pPr>
        <w:jc w:val="both"/>
        <w:rPr>
          <w:color w:val="000000"/>
          <w:sz w:val="22"/>
          <w:szCs w:val="22"/>
        </w:rPr>
      </w:pPr>
      <w:r>
        <w:rPr>
          <w:color w:val="000000"/>
          <w:sz w:val="22"/>
          <w:szCs w:val="22"/>
        </w:rPr>
        <w:t>Por otro lado, y como ya se ha mencionado anteriormente, el proceso del embarazo no solo son los 9 meses de gestación. Hay un concepto que es muy común cuando se piensa en este proceso, conocido como la “depresión posparto”. En muchas ocasiones para la mujer existe un estigma frente a este, haciendo que se ignore y que no sea tratado de manera adecuada. Vale la pena resaltar que, cuando se habla de la depresión posparto, se hace referencia a un trastorno emocional que afecta a las mujeres después del parto, haciendo que “las madres tengan sentimientos de extrema tristeza, ansiedad y cansancio que les dificulta realizar las actividades diarias del cuidado de sí mismas, de otras personas, al igual que del recién nacido” (NIMH, s.f)</w:t>
      </w:r>
      <w:r>
        <w:rPr>
          <w:color w:val="000000"/>
          <w:sz w:val="22"/>
          <w:szCs w:val="22"/>
          <w:vertAlign w:val="superscript"/>
        </w:rPr>
        <w:footnoteReference w:id="14"/>
      </w:r>
    </w:p>
    <w:p w14:paraId="779F8E76" w14:textId="77777777" w:rsidR="003B4DFE" w:rsidRDefault="003B4DFE">
      <w:pPr>
        <w:jc w:val="both"/>
        <w:rPr>
          <w:color w:val="000000"/>
          <w:sz w:val="22"/>
          <w:szCs w:val="22"/>
        </w:rPr>
      </w:pPr>
    </w:p>
    <w:p w14:paraId="5DC109C0" w14:textId="76BD6894" w:rsidR="003B4DFE" w:rsidRDefault="009E6D93">
      <w:pPr>
        <w:jc w:val="both"/>
        <w:rPr>
          <w:color w:val="000000"/>
          <w:sz w:val="22"/>
          <w:szCs w:val="22"/>
        </w:rPr>
      </w:pPr>
      <w:r>
        <w:rPr>
          <w:color w:val="000000"/>
          <w:sz w:val="22"/>
          <w:szCs w:val="22"/>
        </w:rPr>
        <w:t xml:space="preserve">Teniendo en cuenta el panorama mencionado anteriormente, se pretende promover la atención psicológica durante y después del embarazo, promoviendo un seguimiento continuo que logre mitigar cualquier consecuencia negativa que se pueda presentar, ya sea para la madre o para el bebé, y que se encuentre relacionada con temas de salud mental y logrando que, se ofrezca un acompañamiento que permita un diagnóstico y un tratamiento adecuado. </w:t>
      </w:r>
    </w:p>
    <w:p w14:paraId="5B61FA2A" w14:textId="77777777" w:rsidR="00457FD1" w:rsidRDefault="00457FD1">
      <w:pPr>
        <w:jc w:val="both"/>
        <w:rPr>
          <w:color w:val="000000"/>
          <w:sz w:val="22"/>
          <w:szCs w:val="22"/>
        </w:rPr>
      </w:pPr>
    </w:p>
    <w:p w14:paraId="6AA9ED93" w14:textId="77777777" w:rsidR="003B4DFE" w:rsidRDefault="009E6D93">
      <w:pPr>
        <w:jc w:val="both"/>
        <w:rPr>
          <w:sz w:val="22"/>
          <w:szCs w:val="22"/>
        </w:rPr>
      </w:pPr>
      <w:r>
        <w:rPr>
          <w:color w:val="000000"/>
          <w:sz w:val="22"/>
          <w:szCs w:val="22"/>
        </w:rPr>
        <w:t>Es necesario resaltar que, desde el año 2018, el Ministerio de Salud y Protección Social expidió la Resolución 3280 "</w:t>
      </w:r>
      <w:r>
        <w:rPr>
          <w:i/>
          <w:color w:val="000000"/>
          <w:sz w:val="22"/>
          <w:szCs w:val="22"/>
        </w:rPr>
        <w:t>Por medio de la cual se adoptan los lineamientos técnicos y operativos de la Ruta Integral de atención para la promoción y mantenimiento de la Salud y la Ruta Integral de Atención en Salud —RIAS- para la población Materno Perinatal y se establecen directrices para su operación";</w:t>
      </w:r>
      <w:r>
        <w:rPr>
          <w:color w:val="000000"/>
          <w:sz w:val="22"/>
          <w:szCs w:val="22"/>
        </w:rPr>
        <w:t xml:space="preserve"> con dicho antecedente, la presente iniciativa busca complementar estas Rutas de Atención, promoviendo el fortalecimiento de la atención en cuanto a temas de salud mental. Esto, teniendo en cuenta que, según la resolución mencionada y la respuesta de la Secretaría Distrital de Salud ante la solicitud de información con No.2021EE7199 del Concejo de Bogotá, </w:t>
      </w:r>
      <w:r>
        <w:rPr>
          <w:sz w:val="22"/>
          <w:szCs w:val="22"/>
        </w:rPr>
        <w:t xml:space="preserve">para atender la salud de las personas en embarazo y luego del parto se contemplan siete (7) intervenciones que son fundamentales durante este proceso, sin embargo, ninguna está dirigida 100% a temas de salud mental y acompañamiento psicológico durante y después del embarazo: </w:t>
      </w:r>
    </w:p>
    <w:p w14:paraId="7818863E" w14:textId="77777777" w:rsidR="003B4DFE" w:rsidRDefault="003B4DFE">
      <w:pPr>
        <w:jc w:val="both"/>
        <w:rPr>
          <w:sz w:val="22"/>
          <w:szCs w:val="22"/>
        </w:rPr>
      </w:pPr>
    </w:p>
    <w:p w14:paraId="137D8637" w14:textId="77777777" w:rsidR="003B4DFE" w:rsidRDefault="009E6D93">
      <w:pPr>
        <w:numPr>
          <w:ilvl w:val="0"/>
          <w:numId w:val="4"/>
        </w:numPr>
        <w:pBdr>
          <w:top w:val="nil"/>
          <w:left w:val="nil"/>
          <w:bottom w:val="nil"/>
          <w:right w:val="nil"/>
          <w:between w:val="nil"/>
        </w:pBdr>
        <w:jc w:val="both"/>
        <w:rPr>
          <w:color w:val="000000"/>
          <w:sz w:val="22"/>
          <w:szCs w:val="22"/>
        </w:rPr>
      </w:pPr>
      <w:r>
        <w:rPr>
          <w:color w:val="000000"/>
          <w:sz w:val="22"/>
          <w:szCs w:val="22"/>
        </w:rPr>
        <w:t>Consulta y asesoría en anticoncepción para garantizar el ejercicio pleno y autónomo de sus derechos sexuales y reproductivos.</w:t>
      </w:r>
    </w:p>
    <w:p w14:paraId="1F46E3FD" w14:textId="77777777" w:rsidR="003B4DFE" w:rsidRDefault="009E6D93">
      <w:pPr>
        <w:numPr>
          <w:ilvl w:val="0"/>
          <w:numId w:val="4"/>
        </w:numPr>
        <w:pBdr>
          <w:top w:val="nil"/>
          <w:left w:val="nil"/>
          <w:bottom w:val="nil"/>
          <w:right w:val="nil"/>
          <w:between w:val="nil"/>
        </w:pBdr>
        <w:jc w:val="both"/>
        <w:rPr>
          <w:color w:val="000000"/>
          <w:sz w:val="22"/>
          <w:szCs w:val="22"/>
        </w:rPr>
      </w:pPr>
      <w:r>
        <w:rPr>
          <w:color w:val="000000"/>
          <w:sz w:val="22"/>
          <w:szCs w:val="22"/>
        </w:rPr>
        <w:t>Atención para el cuidado preconcepcional, la cual permite reconocer el ejercicio de los derechos sexuales y reproductivos que llevan a la identificación de los riesgos y alternativas de la concepción y a adoptar las medidas necesarias para atenuar o eliminar los mencionados riesgos y promover la salud de la mujer a fin de alcanzar la gestación en las mejores condiciones posibles.</w:t>
      </w:r>
    </w:p>
    <w:p w14:paraId="34E2EDFC" w14:textId="77777777" w:rsidR="003B4DFE" w:rsidRDefault="009E6D93">
      <w:pPr>
        <w:numPr>
          <w:ilvl w:val="0"/>
          <w:numId w:val="4"/>
        </w:numPr>
        <w:pBdr>
          <w:top w:val="nil"/>
          <w:left w:val="nil"/>
          <w:bottom w:val="nil"/>
          <w:right w:val="nil"/>
          <w:between w:val="nil"/>
        </w:pBdr>
        <w:jc w:val="both"/>
        <w:rPr>
          <w:color w:val="000000"/>
          <w:sz w:val="22"/>
          <w:szCs w:val="22"/>
        </w:rPr>
      </w:pPr>
      <w:r>
        <w:rPr>
          <w:color w:val="000000"/>
          <w:sz w:val="22"/>
          <w:szCs w:val="22"/>
        </w:rPr>
        <w:t xml:space="preserve">Atención para la interrupción voluntaria del embarazo reconociendo el derecho a la autonomía y autodeterminación reproductiva de la mujer, en el marco de lo previsto por la Sentencia C-355 de 2006 y jurisprudencia complementaria, tratando con eficacia las posibles complicaciones del aborto. </w:t>
      </w:r>
    </w:p>
    <w:p w14:paraId="533F7F1C" w14:textId="77777777" w:rsidR="003B4DFE" w:rsidRDefault="009E6D93">
      <w:pPr>
        <w:numPr>
          <w:ilvl w:val="0"/>
          <w:numId w:val="4"/>
        </w:numPr>
        <w:pBdr>
          <w:top w:val="nil"/>
          <w:left w:val="nil"/>
          <w:bottom w:val="nil"/>
          <w:right w:val="nil"/>
          <w:between w:val="nil"/>
        </w:pBdr>
        <w:jc w:val="both"/>
        <w:rPr>
          <w:color w:val="000000"/>
          <w:sz w:val="22"/>
          <w:szCs w:val="22"/>
        </w:rPr>
      </w:pPr>
      <w:r>
        <w:rPr>
          <w:color w:val="000000"/>
          <w:sz w:val="22"/>
          <w:szCs w:val="22"/>
        </w:rPr>
        <w:t xml:space="preserve">Consulta para el cuidado prenatal que permite vigilar la evolución del proceso de la gestación, a fin de identificar precozmente a la gestante con factores de riesgo biopsicosociales mediante la aplicación de la Escala de Riesgo Biológico y Psicosocial de Herrera y Hurtado, herramienta que permite realizar una valoración de las condiciones psicosociales y un análisis de cada variable, mediante la combinación del riesgo obstétrico y psicosocial, con el objetivo de identificar aquellas gestantes que pueden continuar su control con enfermería y medicina general, y aquellas que necesitan seguir su control con el obstetra y/o un grupo multidisciplinario. Esta escala debe ser aplicada en cada trimestre de la gestación, enfermedades asociadas y propias del embarazo, para un manejo adecuado y oportuno. </w:t>
      </w:r>
    </w:p>
    <w:p w14:paraId="3224497B" w14:textId="77777777" w:rsidR="003B4DFE" w:rsidRDefault="009E6D93">
      <w:pPr>
        <w:numPr>
          <w:ilvl w:val="0"/>
          <w:numId w:val="4"/>
        </w:numPr>
        <w:pBdr>
          <w:top w:val="nil"/>
          <w:left w:val="nil"/>
          <w:bottom w:val="nil"/>
          <w:right w:val="nil"/>
          <w:between w:val="nil"/>
        </w:pBdr>
        <w:jc w:val="both"/>
        <w:rPr>
          <w:color w:val="000000"/>
          <w:sz w:val="22"/>
          <w:szCs w:val="22"/>
        </w:rPr>
      </w:pPr>
      <w:r>
        <w:rPr>
          <w:color w:val="000000"/>
          <w:sz w:val="22"/>
          <w:szCs w:val="22"/>
        </w:rPr>
        <w:t xml:space="preserve">Curso de preparación para la maternidad y la paternidad, así como, proceso organizado de educación, realizado de manera interactiva entre el equipo de profesionales de salud, la mujer, su pareja, hijos(as) y familia, para desarrollar capacidades para el cuidado de la salud durante la gestación, el parto y el puerperio. </w:t>
      </w:r>
    </w:p>
    <w:p w14:paraId="748CC44B" w14:textId="77777777" w:rsidR="003B4DFE" w:rsidRDefault="009E6D93">
      <w:pPr>
        <w:numPr>
          <w:ilvl w:val="0"/>
          <w:numId w:val="4"/>
        </w:numPr>
        <w:pBdr>
          <w:top w:val="nil"/>
          <w:left w:val="nil"/>
          <w:bottom w:val="nil"/>
          <w:right w:val="nil"/>
          <w:between w:val="nil"/>
        </w:pBdr>
        <w:jc w:val="both"/>
        <w:rPr>
          <w:color w:val="000000"/>
          <w:sz w:val="22"/>
          <w:szCs w:val="22"/>
        </w:rPr>
      </w:pPr>
      <w:r>
        <w:rPr>
          <w:color w:val="000000"/>
          <w:sz w:val="22"/>
          <w:szCs w:val="22"/>
        </w:rPr>
        <w:t xml:space="preserve">Atención del parto, realizada por profesionales en medicina y enfermería, para reducir y controlar complicaciones del proceso de alumbramiento y puerperio, garantizando un acompañamiento humanizado a la gestante y a su familia, basado en el enfoque de derechos, con seguimiento del equipo de salud mental posterior al alta, para los casos de mujeres con riesgo aumentado de depresión posparto. </w:t>
      </w:r>
    </w:p>
    <w:p w14:paraId="77B72472" w14:textId="77777777" w:rsidR="003B4DFE" w:rsidRDefault="009E6D93">
      <w:pPr>
        <w:numPr>
          <w:ilvl w:val="0"/>
          <w:numId w:val="4"/>
        </w:numPr>
        <w:pBdr>
          <w:top w:val="nil"/>
          <w:left w:val="nil"/>
          <w:bottom w:val="nil"/>
          <w:right w:val="nil"/>
          <w:between w:val="nil"/>
        </w:pBdr>
        <w:jc w:val="both"/>
        <w:rPr>
          <w:color w:val="000000"/>
          <w:sz w:val="22"/>
          <w:szCs w:val="22"/>
        </w:rPr>
      </w:pPr>
      <w:r>
        <w:rPr>
          <w:color w:val="000000"/>
          <w:sz w:val="22"/>
          <w:szCs w:val="22"/>
        </w:rPr>
        <w:t>Atención del puerperio, enfocado en prevenir, detectar y controlar complicaciones del parto como la hemorragia posparto, la retención de restos y la infección puerperal, así como, brindar información y asesoría en métodos anticonceptivos de acuerdo con criterios médicos de elegibilidad, incluyendo el talento humano requerido y las atenciones en el puerperio inmediato y mediato. Esta atención contiene la detección del riesgo de depresión posparto.</w:t>
      </w:r>
    </w:p>
    <w:p w14:paraId="44F69B9A" w14:textId="77777777" w:rsidR="003B4DFE" w:rsidRDefault="003B4DFE">
      <w:pPr>
        <w:jc w:val="both"/>
        <w:rPr>
          <w:color w:val="000000"/>
          <w:sz w:val="22"/>
          <w:szCs w:val="22"/>
        </w:rPr>
      </w:pPr>
    </w:p>
    <w:p w14:paraId="464093E7" w14:textId="77777777" w:rsidR="003B4DFE" w:rsidRDefault="009E6D93">
      <w:pPr>
        <w:jc w:val="both"/>
        <w:rPr>
          <w:color w:val="000000"/>
          <w:sz w:val="22"/>
          <w:szCs w:val="22"/>
        </w:rPr>
      </w:pPr>
      <w:r>
        <w:rPr>
          <w:color w:val="000000"/>
          <w:sz w:val="22"/>
          <w:szCs w:val="22"/>
        </w:rPr>
        <w:t>En el mismo sentido, es imperioso comprender que aunque las funciones y actividades sobre la atención a la salud mental materna están distribuidas en diferentes sectores, lo que se busca con esta iniciativa es un precedente que a nivel distrital contribuya a la debida  articulación de todos los sectores competentes e interesados en la protección de la salud mental materna, ya que, tal como lo menciona la Secretaría Distrital de Salud en respuesta a la solicitud de información con radicado 2023EE650 de la misma entidad:</w:t>
      </w:r>
    </w:p>
    <w:p w14:paraId="5F07D11E" w14:textId="77777777" w:rsidR="003B4DFE" w:rsidRDefault="003B4DFE">
      <w:pPr>
        <w:jc w:val="both"/>
        <w:rPr>
          <w:color w:val="000000"/>
          <w:sz w:val="22"/>
          <w:szCs w:val="22"/>
        </w:rPr>
      </w:pPr>
    </w:p>
    <w:p w14:paraId="6A60F73C" w14:textId="2D5DB7E4" w:rsidR="003B4DFE" w:rsidRDefault="009E6D93">
      <w:pPr>
        <w:ind w:left="709"/>
        <w:jc w:val="both"/>
        <w:rPr>
          <w:i/>
          <w:color w:val="000000"/>
          <w:sz w:val="22"/>
          <w:szCs w:val="22"/>
        </w:rPr>
      </w:pPr>
      <w:r>
        <w:rPr>
          <w:color w:val="000000"/>
          <w:sz w:val="22"/>
          <w:szCs w:val="22"/>
        </w:rPr>
        <w:t>“</w:t>
      </w:r>
      <w:r>
        <w:rPr>
          <w:i/>
          <w:color w:val="000000"/>
          <w:sz w:val="22"/>
          <w:szCs w:val="22"/>
        </w:rPr>
        <w:t>los programas de atención psicológica y psiquiátrica para las mujeres durante el estado de embarazo y durante el periodo posparto, están a cargo de las Entidades Administradoras de Planes de Beneficios – EAPB y su red prestadora de servicios de salud”.</w:t>
      </w:r>
    </w:p>
    <w:p w14:paraId="7F6467D7" w14:textId="49F094EC" w:rsidR="00810245" w:rsidRDefault="00810245">
      <w:pPr>
        <w:ind w:left="709"/>
        <w:jc w:val="both"/>
        <w:rPr>
          <w:i/>
          <w:color w:val="000000"/>
          <w:sz w:val="22"/>
          <w:szCs w:val="22"/>
        </w:rPr>
      </w:pPr>
    </w:p>
    <w:p w14:paraId="2D8DF847" w14:textId="3A7A8DC4" w:rsidR="00810245" w:rsidRDefault="00810245">
      <w:pPr>
        <w:ind w:left="709"/>
        <w:jc w:val="both"/>
        <w:rPr>
          <w:i/>
          <w:color w:val="000000"/>
          <w:sz w:val="22"/>
          <w:szCs w:val="22"/>
        </w:rPr>
      </w:pPr>
    </w:p>
    <w:p w14:paraId="2218915F" w14:textId="498417A6" w:rsidR="003B4DFE" w:rsidRDefault="009E6D93">
      <w:pPr>
        <w:jc w:val="both"/>
        <w:rPr>
          <w:color w:val="000000"/>
          <w:sz w:val="22"/>
          <w:szCs w:val="22"/>
        </w:rPr>
      </w:pPr>
      <w:r>
        <w:rPr>
          <w:color w:val="000000"/>
          <w:sz w:val="22"/>
          <w:szCs w:val="22"/>
        </w:rPr>
        <w:t xml:space="preserve">Por lo establecido anteriormente, no resultaría coherente determinar que la salud mental materna es una problemática exclusiva de los prestadores del servicio de salud, este es un problema coyuntural que tiene una trascendencia en la salud, en las familias y en la sociedad bogotana, por lo tanto, es importante que se le </w:t>
      </w:r>
      <w:r w:rsidR="003B7482">
        <w:rPr>
          <w:color w:val="000000"/>
          <w:sz w:val="22"/>
          <w:szCs w:val="22"/>
        </w:rPr>
        <w:t>dé</w:t>
      </w:r>
      <w:r>
        <w:rPr>
          <w:color w:val="000000"/>
          <w:sz w:val="22"/>
          <w:szCs w:val="22"/>
        </w:rPr>
        <w:t xml:space="preserve"> a este tema la atención que merece. </w:t>
      </w:r>
    </w:p>
    <w:p w14:paraId="43D6B1D6" w14:textId="77777777" w:rsidR="003B4DFE" w:rsidRDefault="003B4DFE">
      <w:pPr>
        <w:jc w:val="both"/>
        <w:rPr>
          <w:color w:val="000000"/>
          <w:sz w:val="22"/>
          <w:szCs w:val="22"/>
        </w:rPr>
      </w:pPr>
    </w:p>
    <w:p w14:paraId="3826220B" w14:textId="77777777" w:rsidR="003B4DFE" w:rsidRDefault="009E6D93">
      <w:pPr>
        <w:jc w:val="both"/>
        <w:rPr>
          <w:color w:val="000000"/>
          <w:sz w:val="22"/>
          <w:szCs w:val="22"/>
        </w:rPr>
      </w:pPr>
      <w:r>
        <w:rPr>
          <w:color w:val="000000"/>
          <w:sz w:val="22"/>
          <w:szCs w:val="22"/>
        </w:rPr>
        <w:t xml:space="preserve">Por último y no menos importante está el tema de la declaratoria del día distrital de la salud materna, en donde se tomó como referencia el primer miércoles de mayo teniendo en cuenta que a nivel internacional se conmemora el Día Mundial de la Salud Mental Materna en esta misma fecha. </w:t>
      </w:r>
    </w:p>
    <w:p w14:paraId="17DBC151" w14:textId="77777777" w:rsidR="003B4DFE" w:rsidRDefault="003B4DFE">
      <w:pPr>
        <w:jc w:val="both"/>
        <w:rPr>
          <w:color w:val="000000"/>
          <w:sz w:val="22"/>
          <w:szCs w:val="22"/>
        </w:rPr>
      </w:pPr>
    </w:p>
    <w:p w14:paraId="10EC828F" w14:textId="77777777" w:rsidR="003B4DFE" w:rsidRDefault="009E6D93">
      <w:pPr>
        <w:jc w:val="both"/>
        <w:rPr>
          <w:color w:val="000000"/>
          <w:sz w:val="22"/>
          <w:szCs w:val="22"/>
        </w:rPr>
      </w:pPr>
      <w:r w:rsidRPr="00810245">
        <w:rPr>
          <w:color w:val="000000"/>
          <w:sz w:val="22"/>
          <w:szCs w:val="22"/>
        </w:rPr>
        <w:t>Según la Sociedad Marcé Española (MARES)</w:t>
      </w:r>
      <w:r w:rsidRPr="00810245">
        <w:rPr>
          <w:color w:val="000000"/>
          <w:sz w:val="22"/>
          <w:szCs w:val="22"/>
          <w:vertAlign w:val="superscript"/>
        </w:rPr>
        <w:footnoteReference w:id="15"/>
      </w:r>
      <w:r w:rsidRPr="00810245">
        <w:rPr>
          <w:color w:val="000000"/>
          <w:sz w:val="22"/>
          <w:szCs w:val="22"/>
        </w:rPr>
        <w:t>, el Día Mundial de la Salud Mental Materna se lanzó para </w:t>
      </w:r>
      <w:r w:rsidRPr="00810245">
        <w:rPr>
          <w:bCs/>
          <w:color w:val="000000"/>
          <w:sz w:val="22"/>
          <w:szCs w:val="22"/>
        </w:rPr>
        <w:t>aumentar la conciencia acerca de los problemas de salud mental materna</w:t>
      </w:r>
      <w:r w:rsidRPr="00810245">
        <w:rPr>
          <w:color w:val="000000"/>
          <w:sz w:val="22"/>
          <w:szCs w:val="22"/>
        </w:rPr>
        <w:t>, con la finalidad de que más mujeres busquen ayuda, reciban tratamiento adecuado y sufran menos. Esta conmemoración estableció el objetivo común de </w:t>
      </w:r>
      <w:r w:rsidRPr="00810245">
        <w:rPr>
          <w:bCs/>
          <w:color w:val="000000"/>
          <w:sz w:val="22"/>
          <w:szCs w:val="22"/>
        </w:rPr>
        <w:t>sensibilizar</w:t>
      </w:r>
      <w:r w:rsidRPr="00810245">
        <w:rPr>
          <w:color w:val="000000"/>
          <w:sz w:val="22"/>
          <w:szCs w:val="22"/>
        </w:rPr>
        <w:t> a la</w:t>
      </w:r>
      <w:r>
        <w:rPr>
          <w:color w:val="000000"/>
          <w:sz w:val="22"/>
          <w:szCs w:val="22"/>
        </w:rPr>
        <w:t xml:space="preserve"> población mundial acerca de la importancia de la salud mental materna y mejorar los recursos destinados por los gobiernos a la prevención, detección y tratamiento de los trastornos mentales durante el embarazo y el primer año tras el nacimiento.</w:t>
      </w:r>
    </w:p>
    <w:p w14:paraId="6F8BD81B" w14:textId="77777777" w:rsidR="003B4DFE" w:rsidRDefault="003B4DFE">
      <w:pPr>
        <w:jc w:val="both"/>
        <w:rPr>
          <w:color w:val="000000"/>
          <w:sz w:val="22"/>
          <w:szCs w:val="22"/>
        </w:rPr>
      </w:pPr>
    </w:p>
    <w:p w14:paraId="46440086" w14:textId="77777777" w:rsidR="003B4DFE" w:rsidRDefault="009E6D93">
      <w:pPr>
        <w:jc w:val="both"/>
        <w:rPr>
          <w:color w:val="000000"/>
          <w:sz w:val="22"/>
          <w:szCs w:val="22"/>
        </w:rPr>
      </w:pPr>
      <w:r>
        <w:rPr>
          <w:color w:val="000000"/>
          <w:sz w:val="22"/>
          <w:szCs w:val="22"/>
        </w:rPr>
        <w:t xml:space="preserve">Por lo anterior, se considera importante que Bogotá se alinee con esta tendencia mundial y cree el mismo ambiente de sensibilización frente a una problemática que se presenta de una manera muy silenciosa, pero muy destructiva. </w:t>
      </w:r>
    </w:p>
    <w:p w14:paraId="2613E9C1" w14:textId="77777777" w:rsidR="003B4DFE" w:rsidRDefault="003B4DFE">
      <w:pPr>
        <w:jc w:val="both"/>
        <w:rPr>
          <w:color w:val="000000"/>
          <w:sz w:val="22"/>
          <w:szCs w:val="22"/>
        </w:rPr>
      </w:pPr>
    </w:p>
    <w:p w14:paraId="4D13536A" w14:textId="77777777" w:rsidR="003B4DFE" w:rsidRDefault="009E6D93">
      <w:pPr>
        <w:jc w:val="both"/>
        <w:rPr>
          <w:color w:val="000000"/>
          <w:sz w:val="22"/>
          <w:szCs w:val="22"/>
        </w:rPr>
      </w:pPr>
      <w:r>
        <w:rPr>
          <w:color w:val="000000"/>
          <w:sz w:val="22"/>
          <w:szCs w:val="22"/>
        </w:rPr>
        <w:t xml:space="preserve">Este proyecto de acuerdo contempla las sugerencias propuestas por los concejales que han rendido ponencia, con el fin de enriquecer el proyecto, buscando dejarle a la ciudad una norma con mejores efectos para la ciudadanía. </w:t>
      </w:r>
    </w:p>
    <w:p w14:paraId="1037B8A3" w14:textId="77777777" w:rsidR="003B4DFE" w:rsidRDefault="003B4DFE">
      <w:pPr>
        <w:jc w:val="both"/>
        <w:rPr>
          <w:color w:val="000000"/>
          <w:sz w:val="22"/>
          <w:szCs w:val="22"/>
        </w:rPr>
      </w:pPr>
    </w:p>
    <w:p w14:paraId="18A9A95E" w14:textId="77777777" w:rsidR="003B4DFE" w:rsidRDefault="009E6D93">
      <w:pPr>
        <w:jc w:val="both"/>
        <w:rPr>
          <w:color w:val="000000"/>
          <w:sz w:val="22"/>
          <w:szCs w:val="22"/>
        </w:rPr>
      </w:pPr>
      <w:r>
        <w:rPr>
          <w:color w:val="000000"/>
          <w:sz w:val="22"/>
          <w:szCs w:val="22"/>
        </w:rPr>
        <w:t>Así las cosas, esta iniciativa busca fortalecer y mantener los programas, proyectos y estrategias relacionados con la salud mental de la mujer durante y después del embarazo que ya se encuentran en su etapa de implementación; así como, promover un acompañamiento psicológico a las madres durante la etapa de gestación y del posparto.</w:t>
      </w:r>
    </w:p>
    <w:p w14:paraId="687C6DE0" w14:textId="4877B32E" w:rsidR="003B4DFE" w:rsidRDefault="003B4DFE">
      <w:pPr>
        <w:jc w:val="both"/>
        <w:rPr>
          <w:color w:val="000000"/>
          <w:sz w:val="22"/>
          <w:szCs w:val="22"/>
        </w:rPr>
      </w:pPr>
    </w:p>
    <w:p w14:paraId="0AE81F86" w14:textId="2BB71908" w:rsidR="00255DF6" w:rsidRDefault="00BC5174">
      <w:pPr>
        <w:jc w:val="both"/>
        <w:rPr>
          <w:color w:val="000000"/>
          <w:sz w:val="22"/>
          <w:szCs w:val="22"/>
        </w:rPr>
      </w:pPr>
      <w:r>
        <w:rPr>
          <w:color w:val="000000"/>
          <w:sz w:val="22"/>
          <w:szCs w:val="22"/>
        </w:rPr>
        <w:t xml:space="preserve">Adicionalmente, </w:t>
      </w:r>
      <w:r w:rsidR="005D48E1">
        <w:rPr>
          <w:color w:val="000000"/>
          <w:sz w:val="22"/>
          <w:szCs w:val="22"/>
        </w:rPr>
        <w:t xml:space="preserve">pretende que se formulen </w:t>
      </w:r>
      <w:r w:rsidR="00255DF6">
        <w:rPr>
          <w:color w:val="000000"/>
          <w:sz w:val="22"/>
          <w:szCs w:val="22"/>
        </w:rPr>
        <w:t xml:space="preserve">indicadores que permitan hacerle seguimiento a la salud mental durante el periodo de gestación o postparto. Esto, teniendo en cuenta que la Secretaría Distrital de Salud en respuesta a la proposición 710 de 2024, informó que </w:t>
      </w:r>
      <w:r w:rsidR="005D48E1">
        <w:rPr>
          <w:i/>
          <w:color w:val="000000"/>
          <w:sz w:val="22"/>
          <w:szCs w:val="22"/>
        </w:rPr>
        <w:t>“Por parte de los s</w:t>
      </w:r>
      <w:r w:rsidR="00255DF6" w:rsidRPr="003B7482">
        <w:rPr>
          <w:i/>
          <w:color w:val="000000"/>
          <w:sz w:val="22"/>
          <w:szCs w:val="22"/>
        </w:rPr>
        <w:t>istemas de vigilancia en salud pública de eventos priorizados en salud mental, no se cuenta con indicadores de seguimiento de gestantes o de postparto y, de igual forma, los datos frente a las atenciones no se recaban por ningún sistema</w:t>
      </w:r>
      <w:r w:rsidR="003B7482">
        <w:rPr>
          <w:color w:val="000000"/>
          <w:sz w:val="22"/>
          <w:szCs w:val="22"/>
        </w:rPr>
        <w:t>”</w:t>
      </w:r>
      <w:r w:rsidR="00820380">
        <w:rPr>
          <w:rStyle w:val="Refdenotaalpie"/>
          <w:color w:val="000000"/>
          <w:sz w:val="22"/>
          <w:szCs w:val="22"/>
        </w:rPr>
        <w:footnoteReference w:id="16"/>
      </w:r>
      <w:r w:rsidR="00255DF6">
        <w:rPr>
          <w:color w:val="000000"/>
          <w:sz w:val="22"/>
          <w:szCs w:val="22"/>
        </w:rPr>
        <w:t xml:space="preserve">.  </w:t>
      </w:r>
    </w:p>
    <w:p w14:paraId="3321B9F0" w14:textId="2D00DB20" w:rsidR="00BC5174" w:rsidRDefault="00BC5174">
      <w:pPr>
        <w:jc w:val="both"/>
        <w:rPr>
          <w:color w:val="000000"/>
          <w:sz w:val="22"/>
          <w:szCs w:val="22"/>
        </w:rPr>
      </w:pPr>
    </w:p>
    <w:p w14:paraId="5B2F9378" w14:textId="77777777" w:rsidR="007272CF" w:rsidRDefault="007272CF">
      <w:pPr>
        <w:jc w:val="both"/>
        <w:rPr>
          <w:color w:val="000000"/>
          <w:sz w:val="22"/>
          <w:szCs w:val="22"/>
        </w:rPr>
      </w:pPr>
    </w:p>
    <w:p w14:paraId="23988C36" w14:textId="77777777" w:rsidR="003B4DFE" w:rsidRDefault="009E6D93">
      <w:pPr>
        <w:numPr>
          <w:ilvl w:val="0"/>
          <w:numId w:val="3"/>
        </w:numPr>
        <w:pBdr>
          <w:top w:val="nil"/>
          <w:left w:val="nil"/>
          <w:bottom w:val="nil"/>
          <w:right w:val="nil"/>
          <w:between w:val="nil"/>
        </w:pBdr>
        <w:jc w:val="both"/>
        <w:rPr>
          <w:b/>
          <w:color w:val="000000"/>
          <w:sz w:val="22"/>
          <w:szCs w:val="22"/>
        </w:rPr>
      </w:pPr>
      <w:r>
        <w:rPr>
          <w:b/>
          <w:color w:val="000000"/>
          <w:sz w:val="22"/>
          <w:szCs w:val="22"/>
        </w:rPr>
        <w:t>IMPACTO FISCAL</w:t>
      </w:r>
    </w:p>
    <w:p w14:paraId="58E6DD4E" w14:textId="77777777" w:rsidR="007272CF" w:rsidRDefault="007272CF" w:rsidP="007272CF">
      <w:pPr>
        <w:pBdr>
          <w:top w:val="nil"/>
          <w:left w:val="nil"/>
          <w:bottom w:val="nil"/>
          <w:right w:val="nil"/>
          <w:between w:val="nil"/>
        </w:pBdr>
        <w:ind w:left="720"/>
        <w:jc w:val="both"/>
        <w:rPr>
          <w:b/>
          <w:color w:val="000000"/>
          <w:sz w:val="22"/>
          <w:szCs w:val="22"/>
        </w:rPr>
      </w:pPr>
    </w:p>
    <w:p w14:paraId="7D3BEE8F" w14:textId="77777777" w:rsidR="003B4DFE" w:rsidRDefault="003B4DFE">
      <w:pPr>
        <w:pBdr>
          <w:top w:val="nil"/>
          <w:left w:val="nil"/>
          <w:bottom w:val="nil"/>
          <w:right w:val="nil"/>
          <w:between w:val="nil"/>
        </w:pBdr>
        <w:ind w:left="720"/>
        <w:jc w:val="both"/>
        <w:rPr>
          <w:b/>
          <w:color w:val="000000"/>
          <w:sz w:val="22"/>
          <w:szCs w:val="22"/>
        </w:rPr>
      </w:pPr>
    </w:p>
    <w:p w14:paraId="4D8C3A0C" w14:textId="77777777" w:rsidR="003B4DFE" w:rsidRDefault="009E6D93">
      <w:pPr>
        <w:pBdr>
          <w:top w:val="nil"/>
          <w:left w:val="nil"/>
          <w:bottom w:val="nil"/>
          <w:right w:val="nil"/>
          <w:between w:val="nil"/>
        </w:pBdr>
        <w:jc w:val="both"/>
        <w:rPr>
          <w:color w:val="000000"/>
          <w:sz w:val="22"/>
          <w:szCs w:val="22"/>
        </w:rPr>
      </w:pPr>
      <w:r>
        <w:rPr>
          <w:color w:val="000000"/>
          <w:sz w:val="22"/>
          <w:szCs w:val="22"/>
        </w:rPr>
        <w:t>De conformidad con lo dispuesto por el artículo 7 de la Ley 819 de 2003, el análisis del impacto fiscal en cualquier proyecto de acuerdo que ordene gasto o que otorgue beneficios tributarios deberá hacerse explícito y deberá ser compatible con el marco fiscal de mediano plazo, así mismo, deberá estar incluido expresamente en la exposición de motivos y en las ponencias de trámites respectivas.</w:t>
      </w:r>
    </w:p>
    <w:p w14:paraId="1FBF86AF" w14:textId="585DC06D" w:rsidR="003B4DFE" w:rsidRDefault="009E6D93" w:rsidP="005D48E1">
      <w:pPr>
        <w:pBdr>
          <w:top w:val="nil"/>
          <w:left w:val="nil"/>
          <w:bottom w:val="nil"/>
          <w:right w:val="nil"/>
          <w:between w:val="nil"/>
        </w:pBdr>
        <w:jc w:val="both"/>
        <w:rPr>
          <w:color w:val="000000"/>
          <w:sz w:val="22"/>
          <w:szCs w:val="22"/>
        </w:rPr>
      </w:pPr>
      <w:r>
        <w:rPr>
          <w:color w:val="000000"/>
          <w:sz w:val="22"/>
          <w:szCs w:val="22"/>
        </w:rPr>
        <w:t xml:space="preserve">Dicho lo anterior, como se pudo evidenciar en el sustento jurídico, el Plan Distrital de Desarrollo vigente para la ciudad de Bogotá ya contempla en sus metas y programas la atención a la salud mental, </w:t>
      </w:r>
      <w:r w:rsidR="005D48E1">
        <w:rPr>
          <w:color w:val="000000"/>
          <w:sz w:val="22"/>
          <w:szCs w:val="22"/>
        </w:rPr>
        <w:t xml:space="preserve">como son el programa 10 “Salud Pública Integrada e Integral”, </w:t>
      </w:r>
      <w:r w:rsidR="00CD75CF">
        <w:rPr>
          <w:color w:val="000000"/>
          <w:sz w:val="22"/>
          <w:szCs w:val="22"/>
        </w:rPr>
        <w:t xml:space="preserve">los </w:t>
      </w:r>
      <w:r w:rsidR="005D48E1">
        <w:rPr>
          <w:color w:val="000000"/>
          <w:sz w:val="22"/>
          <w:szCs w:val="22"/>
        </w:rPr>
        <w:t>artículo</w:t>
      </w:r>
      <w:r w:rsidR="00CD75CF">
        <w:rPr>
          <w:color w:val="000000"/>
          <w:sz w:val="22"/>
          <w:szCs w:val="22"/>
        </w:rPr>
        <w:t>s</w:t>
      </w:r>
      <w:r w:rsidR="005D48E1">
        <w:rPr>
          <w:color w:val="000000"/>
          <w:sz w:val="22"/>
          <w:szCs w:val="22"/>
        </w:rPr>
        <w:t xml:space="preserve"> 44 que contempla el </w:t>
      </w:r>
      <w:r w:rsidR="005D48E1" w:rsidRPr="005D48E1">
        <w:rPr>
          <w:color w:val="000000"/>
          <w:sz w:val="22"/>
          <w:szCs w:val="22"/>
        </w:rPr>
        <w:t>Plan de Prevención y Atención Efectiva, Humanizada e Integral de salud mental</w:t>
      </w:r>
      <w:r w:rsidR="00CD75CF">
        <w:rPr>
          <w:color w:val="000000"/>
          <w:sz w:val="22"/>
          <w:szCs w:val="22"/>
        </w:rPr>
        <w:t xml:space="preserve"> y 259 “Inversiones en estrategias de salud mental a través de los Fondos de Desarrollo Local”</w:t>
      </w:r>
      <w:r w:rsidR="005D48E1">
        <w:rPr>
          <w:color w:val="000000"/>
          <w:sz w:val="22"/>
          <w:szCs w:val="22"/>
        </w:rPr>
        <w:t xml:space="preserve">. </w:t>
      </w:r>
      <w:r>
        <w:rPr>
          <w:color w:val="000000"/>
          <w:sz w:val="22"/>
          <w:szCs w:val="22"/>
        </w:rPr>
        <w:t xml:space="preserve">Por lo tanto y de acuerdo a lo anterior, las disposiciones que pretende establecer la presente iniciativa encuentran fuente de financiación en el Acuerdo </w:t>
      </w:r>
      <w:r w:rsidR="005D48E1">
        <w:rPr>
          <w:color w:val="000000"/>
          <w:sz w:val="22"/>
          <w:szCs w:val="22"/>
        </w:rPr>
        <w:t xml:space="preserve">927 de 2024. </w:t>
      </w:r>
    </w:p>
    <w:p w14:paraId="69E2BB2B" w14:textId="77777777" w:rsidR="003B4DFE" w:rsidRDefault="003B4DFE">
      <w:pPr>
        <w:pBdr>
          <w:top w:val="nil"/>
          <w:left w:val="nil"/>
          <w:bottom w:val="nil"/>
          <w:right w:val="nil"/>
          <w:between w:val="nil"/>
        </w:pBdr>
        <w:jc w:val="both"/>
        <w:rPr>
          <w:color w:val="000000"/>
          <w:sz w:val="22"/>
          <w:szCs w:val="22"/>
        </w:rPr>
      </w:pPr>
    </w:p>
    <w:p w14:paraId="393905EA" w14:textId="77777777" w:rsidR="003B4DFE" w:rsidRDefault="009E6D93">
      <w:pPr>
        <w:pBdr>
          <w:top w:val="nil"/>
          <w:left w:val="nil"/>
          <w:bottom w:val="nil"/>
          <w:right w:val="nil"/>
          <w:between w:val="nil"/>
        </w:pBdr>
        <w:jc w:val="both"/>
        <w:rPr>
          <w:color w:val="000000"/>
          <w:sz w:val="22"/>
          <w:szCs w:val="22"/>
        </w:rPr>
      </w:pPr>
      <w:r>
        <w:rPr>
          <w:color w:val="000000"/>
          <w:sz w:val="22"/>
          <w:szCs w:val="22"/>
        </w:rPr>
        <w:t>Sin embargo, es relevante mencionar, que, para el caso concreto, la Corte Constitucional en Sentencia C-911 de 2007, puntualizó que el impacto fiscal de las normas, no puede convertirse en óbice, para que las corporaciones públicas ejerzan su función legislativa y normativa, afirmando:</w:t>
      </w:r>
    </w:p>
    <w:p w14:paraId="57C0D796" w14:textId="77777777" w:rsidR="003B4DFE" w:rsidRDefault="003B4DFE">
      <w:pPr>
        <w:pBdr>
          <w:top w:val="nil"/>
          <w:left w:val="nil"/>
          <w:bottom w:val="nil"/>
          <w:right w:val="nil"/>
          <w:between w:val="nil"/>
        </w:pBdr>
        <w:jc w:val="both"/>
        <w:rPr>
          <w:color w:val="000000"/>
          <w:sz w:val="22"/>
          <w:szCs w:val="22"/>
        </w:rPr>
      </w:pPr>
    </w:p>
    <w:p w14:paraId="00F89807" w14:textId="77777777" w:rsidR="003B4DFE" w:rsidRDefault="009E6D93">
      <w:pPr>
        <w:pBdr>
          <w:top w:val="nil"/>
          <w:left w:val="nil"/>
          <w:bottom w:val="nil"/>
          <w:right w:val="nil"/>
          <w:between w:val="nil"/>
        </w:pBdr>
        <w:ind w:left="720"/>
        <w:jc w:val="both"/>
        <w:rPr>
          <w:i/>
          <w:color w:val="000000"/>
          <w:sz w:val="22"/>
          <w:szCs w:val="22"/>
        </w:rPr>
      </w:pPr>
      <w:r>
        <w:rPr>
          <w:i/>
          <w:color w:val="000000"/>
          <w:sz w:val="22"/>
          <w:szCs w:val="22"/>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0D142F6F" w14:textId="77777777" w:rsidR="003B4DFE" w:rsidRDefault="003B4DFE">
      <w:pPr>
        <w:pBdr>
          <w:top w:val="nil"/>
          <w:left w:val="nil"/>
          <w:bottom w:val="nil"/>
          <w:right w:val="nil"/>
          <w:between w:val="nil"/>
        </w:pBdr>
        <w:ind w:left="720"/>
        <w:jc w:val="both"/>
        <w:rPr>
          <w:i/>
          <w:color w:val="000000"/>
          <w:sz w:val="22"/>
          <w:szCs w:val="22"/>
        </w:rPr>
      </w:pPr>
    </w:p>
    <w:p w14:paraId="49834249" w14:textId="77777777" w:rsidR="003B4DFE" w:rsidRDefault="009E6D93">
      <w:pPr>
        <w:pBdr>
          <w:top w:val="nil"/>
          <w:left w:val="nil"/>
          <w:bottom w:val="nil"/>
          <w:right w:val="nil"/>
          <w:between w:val="nil"/>
        </w:pBdr>
        <w:ind w:left="720"/>
        <w:jc w:val="both"/>
        <w:rPr>
          <w:i/>
          <w:color w:val="000000"/>
          <w:sz w:val="22"/>
          <w:szCs w:val="22"/>
        </w:rPr>
      </w:pPr>
      <w:r>
        <w:rPr>
          <w:i/>
          <w:color w:val="000000"/>
          <w:sz w:val="22"/>
          <w:szCs w:val="22"/>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4475AD14" w14:textId="77777777" w:rsidR="003B4DFE" w:rsidRDefault="003B4DFE">
      <w:pPr>
        <w:jc w:val="both"/>
        <w:rPr>
          <w:color w:val="000000"/>
          <w:sz w:val="22"/>
          <w:szCs w:val="22"/>
        </w:rPr>
      </w:pPr>
    </w:p>
    <w:p w14:paraId="56A29854" w14:textId="77777777" w:rsidR="003B4DFE" w:rsidRDefault="009E6D93">
      <w:pPr>
        <w:jc w:val="both"/>
        <w:rPr>
          <w:color w:val="000000"/>
          <w:sz w:val="22"/>
          <w:szCs w:val="22"/>
        </w:rPr>
      </w:pPr>
      <w:r>
        <w:rPr>
          <w:color w:val="000000"/>
          <w:sz w:val="22"/>
          <w:szCs w:val="22"/>
        </w:rPr>
        <w:t>Cordialmente,</w:t>
      </w:r>
    </w:p>
    <w:p w14:paraId="42AFC42D" w14:textId="77777777" w:rsidR="003B4DFE" w:rsidRDefault="003B4DFE">
      <w:pPr>
        <w:jc w:val="both"/>
        <w:rPr>
          <w:color w:val="000000"/>
          <w:sz w:val="22"/>
          <w:szCs w:val="22"/>
        </w:rPr>
      </w:pPr>
    </w:p>
    <w:tbl>
      <w:tblPr>
        <w:tblStyle w:val="a1"/>
        <w:tblW w:w="13719"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9067"/>
        <w:gridCol w:w="4652"/>
      </w:tblGrid>
      <w:tr w:rsidR="003B4DFE" w14:paraId="271CA723" w14:textId="77777777">
        <w:tc>
          <w:tcPr>
            <w:tcW w:w="9067" w:type="dxa"/>
          </w:tcPr>
          <w:p w14:paraId="75FBE423" w14:textId="77777777" w:rsidR="003B4DFE" w:rsidRDefault="003B4DFE">
            <w:pPr>
              <w:jc w:val="both"/>
              <w:rPr>
                <w:color w:val="000000"/>
                <w:sz w:val="22"/>
                <w:szCs w:val="22"/>
              </w:rPr>
            </w:pPr>
          </w:p>
        </w:tc>
        <w:tc>
          <w:tcPr>
            <w:tcW w:w="4652" w:type="dxa"/>
          </w:tcPr>
          <w:p w14:paraId="2D3F0BEC" w14:textId="77777777" w:rsidR="003B4DFE" w:rsidRDefault="003B4DFE">
            <w:pPr>
              <w:jc w:val="both"/>
              <w:rPr>
                <w:color w:val="000000"/>
                <w:sz w:val="22"/>
                <w:szCs w:val="22"/>
              </w:rPr>
            </w:pPr>
          </w:p>
        </w:tc>
      </w:tr>
      <w:tr w:rsidR="003B4DFE" w14:paraId="116284F9" w14:textId="77777777">
        <w:tc>
          <w:tcPr>
            <w:tcW w:w="9067" w:type="dxa"/>
          </w:tcPr>
          <w:p w14:paraId="75CF4315" w14:textId="17116ADE" w:rsidR="007272CF" w:rsidRDefault="007272CF">
            <w:pPr>
              <w:jc w:val="both"/>
              <w:rPr>
                <w:b/>
                <w:noProof/>
                <w:color w:val="000000"/>
                <w:sz w:val="22"/>
                <w:szCs w:val="22"/>
                <w:lang w:val="es-CO"/>
              </w:rPr>
            </w:pPr>
          </w:p>
          <w:p w14:paraId="123D939A" w14:textId="77777777" w:rsidR="00D37011" w:rsidRDefault="00D37011">
            <w:pPr>
              <w:jc w:val="both"/>
              <w:rPr>
                <w:b/>
                <w:color w:val="000000"/>
                <w:sz w:val="22"/>
                <w:szCs w:val="22"/>
              </w:rPr>
            </w:pPr>
          </w:p>
          <w:p w14:paraId="63891802" w14:textId="77777777" w:rsidR="003B4DFE" w:rsidRDefault="009E6D93">
            <w:pPr>
              <w:jc w:val="both"/>
              <w:rPr>
                <w:color w:val="000000"/>
                <w:sz w:val="22"/>
                <w:szCs w:val="22"/>
              </w:rPr>
            </w:pPr>
            <w:r>
              <w:rPr>
                <w:b/>
                <w:color w:val="000000"/>
                <w:sz w:val="22"/>
                <w:szCs w:val="22"/>
              </w:rPr>
              <w:t xml:space="preserve">HUMBERTO RAFAEL AMÍN MARTELO      </w:t>
            </w:r>
          </w:p>
        </w:tc>
        <w:tc>
          <w:tcPr>
            <w:tcW w:w="4652" w:type="dxa"/>
          </w:tcPr>
          <w:p w14:paraId="3254BC2F" w14:textId="77777777" w:rsidR="003B4DFE" w:rsidRDefault="003B4DFE">
            <w:pPr>
              <w:jc w:val="both"/>
              <w:rPr>
                <w:color w:val="000000"/>
                <w:sz w:val="22"/>
                <w:szCs w:val="22"/>
              </w:rPr>
            </w:pPr>
          </w:p>
        </w:tc>
      </w:tr>
      <w:tr w:rsidR="003B4DFE" w14:paraId="4FC07B17" w14:textId="77777777">
        <w:tc>
          <w:tcPr>
            <w:tcW w:w="9067" w:type="dxa"/>
          </w:tcPr>
          <w:p w14:paraId="2E63B456" w14:textId="77777777" w:rsidR="003B4DFE" w:rsidRDefault="009E6D93">
            <w:pPr>
              <w:jc w:val="both"/>
              <w:rPr>
                <w:color w:val="000000"/>
                <w:sz w:val="22"/>
                <w:szCs w:val="22"/>
              </w:rPr>
            </w:pPr>
            <w:r>
              <w:rPr>
                <w:b/>
                <w:color w:val="000000"/>
                <w:sz w:val="22"/>
                <w:szCs w:val="22"/>
              </w:rPr>
              <w:t xml:space="preserve">Concejal de Bogotá D.C.                           </w:t>
            </w:r>
          </w:p>
        </w:tc>
        <w:tc>
          <w:tcPr>
            <w:tcW w:w="4652" w:type="dxa"/>
          </w:tcPr>
          <w:p w14:paraId="651E9592" w14:textId="77777777" w:rsidR="003B4DFE" w:rsidRDefault="003B4DFE">
            <w:pPr>
              <w:jc w:val="both"/>
              <w:rPr>
                <w:color w:val="000000"/>
                <w:sz w:val="22"/>
                <w:szCs w:val="22"/>
              </w:rPr>
            </w:pPr>
          </w:p>
        </w:tc>
      </w:tr>
      <w:tr w:rsidR="003B4DFE" w14:paraId="4174E8C8" w14:textId="77777777">
        <w:tc>
          <w:tcPr>
            <w:tcW w:w="9067" w:type="dxa"/>
          </w:tcPr>
          <w:p w14:paraId="083A2B8D" w14:textId="77777777" w:rsidR="003B4DFE" w:rsidRDefault="009E6D93">
            <w:pPr>
              <w:jc w:val="both"/>
              <w:rPr>
                <w:b/>
                <w:color w:val="000000"/>
                <w:sz w:val="22"/>
                <w:szCs w:val="22"/>
              </w:rPr>
            </w:pPr>
            <w:r>
              <w:rPr>
                <w:b/>
                <w:color w:val="000000"/>
                <w:sz w:val="22"/>
                <w:szCs w:val="22"/>
              </w:rPr>
              <w:t xml:space="preserve">Partido Centro Democrático                </w:t>
            </w:r>
          </w:p>
          <w:p w14:paraId="207CCF61" w14:textId="77777777" w:rsidR="003B4DFE" w:rsidRDefault="009E6D93">
            <w:pPr>
              <w:jc w:val="both"/>
              <w:rPr>
                <w:color w:val="000000"/>
                <w:sz w:val="22"/>
                <w:szCs w:val="22"/>
              </w:rPr>
            </w:pPr>
            <w:r>
              <w:rPr>
                <w:b/>
                <w:color w:val="000000"/>
                <w:sz w:val="22"/>
                <w:szCs w:val="22"/>
              </w:rPr>
              <w:t xml:space="preserve">     </w:t>
            </w:r>
          </w:p>
        </w:tc>
        <w:tc>
          <w:tcPr>
            <w:tcW w:w="4652" w:type="dxa"/>
          </w:tcPr>
          <w:p w14:paraId="269E314A" w14:textId="77777777" w:rsidR="003B4DFE" w:rsidRDefault="003B4DFE">
            <w:pPr>
              <w:jc w:val="both"/>
              <w:rPr>
                <w:color w:val="000000"/>
                <w:sz w:val="22"/>
                <w:szCs w:val="22"/>
              </w:rPr>
            </w:pPr>
          </w:p>
        </w:tc>
      </w:tr>
    </w:tbl>
    <w:p w14:paraId="47341341" w14:textId="77777777" w:rsidR="003B4DFE" w:rsidRDefault="003B4DFE">
      <w:pPr>
        <w:jc w:val="center"/>
        <w:rPr>
          <w:b/>
          <w:color w:val="000000"/>
          <w:sz w:val="22"/>
          <w:szCs w:val="22"/>
        </w:rPr>
      </w:pPr>
    </w:p>
    <w:p w14:paraId="42EF2083" w14:textId="77777777" w:rsidR="003B4DFE" w:rsidRDefault="009E6D93">
      <w:pPr>
        <w:rPr>
          <w:b/>
          <w:color w:val="000000"/>
          <w:sz w:val="22"/>
          <w:szCs w:val="22"/>
        </w:rPr>
      </w:pPr>
      <w:r>
        <w:br w:type="page"/>
      </w:r>
    </w:p>
    <w:p w14:paraId="74F35BF7" w14:textId="5A21E329" w:rsidR="003B4DFE" w:rsidRDefault="009E6D93">
      <w:pPr>
        <w:jc w:val="center"/>
        <w:rPr>
          <w:b/>
          <w:color w:val="000000"/>
          <w:sz w:val="22"/>
          <w:szCs w:val="22"/>
        </w:rPr>
      </w:pPr>
      <w:r>
        <w:rPr>
          <w:b/>
          <w:color w:val="000000"/>
          <w:sz w:val="22"/>
          <w:szCs w:val="22"/>
        </w:rPr>
        <w:t>ACUERDO _____ DE 202</w:t>
      </w:r>
      <w:r w:rsidR="00F44173">
        <w:rPr>
          <w:b/>
          <w:color w:val="000000"/>
          <w:sz w:val="22"/>
          <w:szCs w:val="22"/>
        </w:rPr>
        <w:t>5</w:t>
      </w:r>
    </w:p>
    <w:p w14:paraId="7B40C951" w14:textId="77777777" w:rsidR="003B4DFE" w:rsidRDefault="003B4DFE">
      <w:pPr>
        <w:jc w:val="center"/>
        <w:rPr>
          <w:b/>
          <w:color w:val="000000"/>
          <w:sz w:val="22"/>
          <w:szCs w:val="22"/>
        </w:rPr>
      </w:pPr>
    </w:p>
    <w:p w14:paraId="754E3698" w14:textId="77777777" w:rsidR="003B4DFE" w:rsidRDefault="009E6D93">
      <w:pPr>
        <w:jc w:val="center"/>
        <w:rPr>
          <w:b/>
          <w:color w:val="000000"/>
          <w:sz w:val="22"/>
          <w:szCs w:val="22"/>
        </w:rPr>
      </w:pPr>
      <w:r>
        <w:rPr>
          <w:b/>
          <w:sz w:val="22"/>
          <w:szCs w:val="22"/>
        </w:rPr>
        <w:t>POR EL CUAL SE FORTALECE Y FOMENTA LA ATENCIÓN DE LA SALUD MENTAL MATERNA EN EL DISTRITO CAPITAL Y SE DICTAN OTRAS DISPOSICIONES</w:t>
      </w:r>
    </w:p>
    <w:p w14:paraId="20876B09" w14:textId="77777777" w:rsidR="003B4DFE" w:rsidRDefault="009E6D93">
      <w:pPr>
        <w:jc w:val="both"/>
        <w:rPr>
          <w:b/>
          <w:color w:val="000000"/>
          <w:sz w:val="22"/>
          <w:szCs w:val="22"/>
        </w:rPr>
      </w:pPr>
      <w:r>
        <w:rPr>
          <w:b/>
          <w:color w:val="000000"/>
          <w:sz w:val="22"/>
          <w:szCs w:val="22"/>
        </w:rPr>
        <w:t xml:space="preserve"> </w:t>
      </w:r>
    </w:p>
    <w:p w14:paraId="06D96BD6" w14:textId="77777777" w:rsidR="003B4DFE" w:rsidRDefault="009E6D93">
      <w:pPr>
        <w:jc w:val="center"/>
        <w:rPr>
          <w:b/>
          <w:color w:val="000000"/>
          <w:sz w:val="22"/>
          <w:szCs w:val="22"/>
        </w:rPr>
      </w:pPr>
      <w:r>
        <w:rPr>
          <w:b/>
          <w:color w:val="000000"/>
          <w:sz w:val="22"/>
          <w:szCs w:val="22"/>
        </w:rPr>
        <w:t>EL CONCEJO DE BOGOTÁ, D.C.</w:t>
      </w:r>
    </w:p>
    <w:p w14:paraId="4B4D7232" w14:textId="77777777" w:rsidR="003B4DFE" w:rsidRDefault="003B4DFE">
      <w:pPr>
        <w:jc w:val="both"/>
        <w:rPr>
          <w:color w:val="000000"/>
          <w:sz w:val="22"/>
          <w:szCs w:val="22"/>
        </w:rPr>
      </w:pPr>
    </w:p>
    <w:p w14:paraId="198A16F0" w14:textId="77777777" w:rsidR="003B4DFE" w:rsidRDefault="009E6D93">
      <w:pPr>
        <w:jc w:val="center"/>
        <w:rPr>
          <w:color w:val="000000"/>
          <w:sz w:val="22"/>
          <w:szCs w:val="22"/>
        </w:rPr>
      </w:pPr>
      <w:r>
        <w:rPr>
          <w:color w:val="000000"/>
          <w:sz w:val="22"/>
          <w:szCs w:val="22"/>
        </w:rPr>
        <w:t>En uso de sus atribuciones constitucionales y legales, y en especial las que le confieren los numerales 1 y 25 del artículo 12 del Decreto Ley 1421 de 1993,</w:t>
      </w:r>
    </w:p>
    <w:p w14:paraId="2093CA67" w14:textId="77777777" w:rsidR="003B4DFE" w:rsidRDefault="003B4DFE">
      <w:pPr>
        <w:jc w:val="both"/>
        <w:rPr>
          <w:color w:val="000000"/>
          <w:sz w:val="22"/>
          <w:szCs w:val="22"/>
        </w:rPr>
      </w:pPr>
    </w:p>
    <w:p w14:paraId="17781010" w14:textId="77777777" w:rsidR="003B4DFE" w:rsidRDefault="009E6D93">
      <w:pPr>
        <w:jc w:val="center"/>
        <w:rPr>
          <w:b/>
          <w:color w:val="000000"/>
          <w:sz w:val="22"/>
          <w:szCs w:val="22"/>
        </w:rPr>
      </w:pPr>
      <w:r>
        <w:rPr>
          <w:b/>
          <w:color w:val="000000"/>
          <w:sz w:val="22"/>
          <w:szCs w:val="22"/>
        </w:rPr>
        <w:t>ACUERDA</w:t>
      </w:r>
    </w:p>
    <w:p w14:paraId="2503B197" w14:textId="77777777" w:rsidR="003B4DFE" w:rsidRDefault="003B4DFE">
      <w:pPr>
        <w:jc w:val="both"/>
        <w:rPr>
          <w:color w:val="000000"/>
          <w:sz w:val="22"/>
          <w:szCs w:val="22"/>
        </w:rPr>
      </w:pPr>
    </w:p>
    <w:p w14:paraId="64090B64" w14:textId="77777777" w:rsidR="003B4DFE" w:rsidRDefault="009E6D93">
      <w:pPr>
        <w:jc w:val="both"/>
        <w:rPr>
          <w:color w:val="000000"/>
          <w:sz w:val="22"/>
          <w:szCs w:val="22"/>
        </w:rPr>
      </w:pPr>
      <w:r>
        <w:rPr>
          <w:b/>
          <w:color w:val="000000"/>
          <w:sz w:val="22"/>
          <w:szCs w:val="22"/>
        </w:rPr>
        <w:t xml:space="preserve">ARTÍCULO 1. OBJETO. </w:t>
      </w:r>
      <w:r>
        <w:rPr>
          <w:color w:val="000000"/>
          <w:sz w:val="22"/>
          <w:szCs w:val="22"/>
        </w:rPr>
        <w:t>Fortalecer y fomentar la atención psicológica y psiquiátrica para aquellas mujeres que la soliciten durante el embarazo y el periodo posparto en el Distrito Capital. Así como declarar el primer miércoles del mes de mayo de cada año como el Día Distrital de la Salud Mental </w:t>
      </w:r>
      <w:r>
        <w:rPr>
          <w:sz w:val="22"/>
          <w:szCs w:val="22"/>
        </w:rPr>
        <w:t xml:space="preserve">Materna. </w:t>
      </w:r>
    </w:p>
    <w:p w14:paraId="38288749" w14:textId="77777777" w:rsidR="003B4DFE" w:rsidRDefault="003B4DFE">
      <w:pPr>
        <w:jc w:val="both"/>
        <w:rPr>
          <w:color w:val="000000"/>
          <w:sz w:val="22"/>
          <w:szCs w:val="22"/>
        </w:rPr>
      </w:pPr>
    </w:p>
    <w:p w14:paraId="449DB69B" w14:textId="77777777" w:rsidR="003B4DFE" w:rsidRDefault="009E6D93">
      <w:pPr>
        <w:jc w:val="both"/>
        <w:rPr>
          <w:sz w:val="22"/>
          <w:szCs w:val="22"/>
        </w:rPr>
      </w:pPr>
      <w:r>
        <w:rPr>
          <w:b/>
          <w:sz w:val="22"/>
          <w:szCs w:val="22"/>
        </w:rPr>
        <w:t>ARTÍCULO 2.</w:t>
      </w:r>
      <w:r>
        <w:rPr>
          <w:sz w:val="22"/>
          <w:szCs w:val="22"/>
        </w:rPr>
        <w:t xml:space="preserve">  </w:t>
      </w:r>
      <w:r>
        <w:rPr>
          <w:b/>
          <w:sz w:val="22"/>
          <w:szCs w:val="22"/>
        </w:rPr>
        <w:t xml:space="preserve">LINEAMIENTOS. </w:t>
      </w:r>
      <w:r>
        <w:rPr>
          <w:sz w:val="22"/>
          <w:szCs w:val="22"/>
        </w:rPr>
        <w:t xml:space="preserve"> Para fortalecer y fomentar la atención psicológica y psiquiátrica a mujeres durante el embarazo y el periodo posparto en el Distrito Capital se deberán seguir los siguientes lineamientos: </w:t>
      </w:r>
    </w:p>
    <w:p w14:paraId="20BD9A1A" w14:textId="77777777" w:rsidR="003B4DFE" w:rsidRDefault="003B4DFE">
      <w:pPr>
        <w:jc w:val="both"/>
        <w:rPr>
          <w:b/>
          <w:color w:val="000000"/>
          <w:sz w:val="22"/>
          <w:szCs w:val="22"/>
        </w:rPr>
      </w:pPr>
    </w:p>
    <w:p w14:paraId="4AD6D61C" w14:textId="77777777" w:rsidR="003B4DFE" w:rsidRDefault="009E6D93">
      <w:pPr>
        <w:numPr>
          <w:ilvl w:val="0"/>
          <w:numId w:val="1"/>
        </w:numPr>
        <w:pBdr>
          <w:top w:val="nil"/>
          <w:left w:val="nil"/>
          <w:bottom w:val="nil"/>
          <w:right w:val="nil"/>
          <w:between w:val="nil"/>
        </w:pBdr>
        <w:spacing w:after="13"/>
        <w:jc w:val="both"/>
        <w:rPr>
          <w:color w:val="000000"/>
          <w:sz w:val="22"/>
          <w:szCs w:val="22"/>
        </w:rPr>
      </w:pPr>
      <w:r>
        <w:rPr>
          <w:color w:val="000000"/>
          <w:sz w:val="22"/>
          <w:szCs w:val="22"/>
        </w:rPr>
        <w:t>Garantizar a las</w:t>
      </w:r>
      <w:r>
        <w:rPr>
          <w:sz w:val="22"/>
          <w:szCs w:val="22"/>
        </w:rPr>
        <w:t xml:space="preserve"> </w:t>
      </w:r>
      <w:r>
        <w:rPr>
          <w:color w:val="000000"/>
          <w:sz w:val="22"/>
          <w:szCs w:val="22"/>
        </w:rPr>
        <w:t>mujeres que lo soliciten, el acceso al servicio de atención psicológica y psiquiátrica durante y después del embarazo.</w:t>
      </w:r>
    </w:p>
    <w:p w14:paraId="0C136CF1" w14:textId="77777777" w:rsidR="003B4DFE" w:rsidRDefault="003B4DFE">
      <w:pPr>
        <w:pBdr>
          <w:top w:val="nil"/>
          <w:left w:val="nil"/>
          <w:bottom w:val="nil"/>
          <w:right w:val="nil"/>
          <w:between w:val="nil"/>
        </w:pBdr>
        <w:spacing w:after="13"/>
        <w:ind w:left="720"/>
        <w:jc w:val="both"/>
        <w:rPr>
          <w:color w:val="000000"/>
          <w:sz w:val="22"/>
          <w:szCs w:val="22"/>
        </w:rPr>
      </w:pPr>
    </w:p>
    <w:p w14:paraId="44FC4B9F" w14:textId="77777777" w:rsidR="003B4DFE" w:rsidRDefault="009E6D93">
      <w:pPr>
        <w:numPr>
          <w:ilvl w:val="0"/>
          <w:numId w:val="1"/>
        </w:numPr>
        <w:pBdr>
          <w:top w:val="nil"/>
          <w:left w:val="nil"/>
          <w:bottom w:val="nil"/>
          <w:right w:val="nil"/>
          <w:between w:val="nil"/>
        </w:pBdr>
        <w:spacing w:after="13"/>
        <w:jc w:val="both"/>
        <w:rPr>
          <w:color w:val="000000"/>
          <w:sz w:val="22"/>
          <w:szCs w:val="22"/>
        </w:rPr>
      </w:pPr>
      <w:r>
        <w:rPr>
          <w:color w:val="000000"/>
          <w:sz w:val="22"/>
          <w:szCs w:val="22"/>
        </w:rPr>
        <w:t xml:space="preserve">Identificar signos tempranos que sugieran la presencia de enfermedades mentales en mujeres durante y después del embarazo. </w:t>
      </w:r>
    </w:p>
    <w:p w14:paraId="0A392C6A" w14:textId="77777777" w:rsidR="003B4DFE" w:rsidRDefault="003B4DFE">
      <w:pPr>
        <w:spacing w:after="13"/>
        <w:jc w:val="both"/>
        <w:rPr>
          <w:sz w:val="22"/>
          <w:szCs w:val="22"/>
        </w:rPr>
      </w:pPr>
    </w:p>
    <w:p w14:paraId="766CF8F0" w14:textId="77777777" w:rsidR="003B4DFE" w:rsidRDefault="009E6D93">
      <w:pPr>
        <w:numPr>
          <w:ilvl w:val="0"/>
          <w:numId w:val="1"/>
        </w:numPr>
        <w:pBdr>
          <w:top w:val="nil"/>
          <w:left w:val="nil"/>
          <w:bottom w:val="nil"/>
          <w:right w:val="nil"/>
          <w:between w:val="nil"/>
        </w:pBdr>
        <w:spacing w:after="13"/>
        <w:jc w:val="both"/>
        <w:rPr>
          <w:color w:val="000000"/>
          <w:sz w:val="22"/>
          <w:szCs w:val="22"/>
        </w:rPr>
      </w:pPr>
      <w:r>
        <w:rPr>
          <w:color w:val="000000"/>
          <w:sz w:val="22"/>
          <w:szCs w:val="22"/>
        </w:rPr>
        <w:t>Realizar acompañamiento psicosocial a las mujeres antes y después del parto en procura de preservar su salud mental, el buen desempeño durante la gestación y el buen desarrollo de la persona por nacer o nacida.</w:t>
      </w:r>
    </w:p>
    <w:p w14:paraId="290583F9" w14:textId="77777777" w:rsidR="003B4DFE" w:rsidRDefault="003B4DFE">
      <w:pPr>
        <w:pBdr>
          <w:top w:val="nil"/>
          <w:left w:val="nil"/>
          <w:bottom w:val="nil"/>
          <w:right w:val="nil"/>
          <w:between w:val="nil"/>
        </w:pBdr>
        <w:ind w:left="708"/>
        <w:rPr>
          <w:color w:val="000000"/>
          <w:sz w:val="22"/>
          <w:szCs w:val="22"/>
        </w:rPr>
      </w:pPr>
    </w:p>
    <w:p w14:paraId="7A94AC1E" w14:textId="77777777" w:rsidR="003B4DFE" w:rsidRDefault="009E6D93">
      <w:pPr>
        <w:numPr>
          <w:ilvl w:val="0"/>
          <w:numId w:val="1"/>
        </w:numPr>
        <w:pBdr>
          <w:top w:val="nil"/>
          <w:left w:val="nil"/>
          <w:bottom w:val="nil"/>
          <w:right w:val="nil"/>
          <w:between w:val="nil"/>
        </w:pBdr>
        <w:spacing w:after="13"/>
        <w:jc w:val="both"/>
        <w:rPr>
          <w:color w:val="000000"/>
          <w:sz w:val="22"/>
          <w:szCs w:val="22"/>
        </w:rPr>
      </w:pPr>
      <w:r>
        <w:rPr>
          <w:color w:val="000000"/>
          <w:sz w:val="22"/>
          <w:szCs w:val="22"/>
        </w:rPr>
        <w:t xml:space="preserve">Fomentar desde el Distrito la sensibilización sobre la salud mental de las mujeres </w:t>
      </w:r>
      <w:r>
        <w:rPr>
          <w:sz w:val="22"/>
          <w:szCs w:val="22"/>
        </w:rPr>
        <w:t xml:space="preserve">durante y después del embarazo. </w:t>
      </w:r>
    </w:p>
    <w:p w14:paraId="68F21D90" w14:textId="77777777" w:rsidR="003B4DFE" w:rsidRDefault="003B4DFE">
      <w:pPr>
        <w:pBdr>
          <w:top w:val="nil"/>
          <w:left w:val="nil"/>
          <w:bottom w:val="nil"/>
          <w:right w:val="nil"/>
          <w:between w:val="nil"/>
        </w:pBdr>
        <w:spacing w:after="13"/>
        <w:ind w:left="720"/>
        <w:jc w:val="both"/>
        <w:rPr>
          <w:sz w:val="22"/>
          <w:szCs w:val="22"/>
        </w:rPr>
      </w:pPr>
    </w:p>
    <w:p w14:paraId="68C91B95" w14:textId="77777777" w:rsidR="003B4DFE" w:rsidRDefault="009E6D93">
      <w:pPr>
        <w:numPr>
          <w:ilvl w:val="0"/>
          <w:numId w:val="1"/>
        </w:numPr>
        <w:pBdr>
          <w:top w:val="nil"/>
          <w:left w:val="nil"/>
          <w:bottom w:val="nil"/>
          <w:right w:val="nil"/>
          <w:between w:val="nil"/>
        </w:pBdr>
        <w:jc w:val="both"/>
        <w:rPr>
          <w:color w:val="000000"/>
          <w:sz w:val="22"/>
          <w:szCs w:val="22"/>
        </w:rPr>
      </w:pPr>
      <w:r>
        <w:rPr>
          <w:color w:val="000000"/>
          <w:sz w:val="22"/>
          <w:szCs w:val="22"/>
        </w:rPr>
        <w:t xml:space="preserve">Propender por la colaboración intersectorial para el desarrollo y fomento de la investigación de la salud mental de las mujeres </w:t>
      </w:r>
      <w:r>
        <w:rPr>
          <w:sz w:val="22"/>
          <w:szCs w:val="22"/>
        </w:rPr>
        <w:t xml:space="preserve">durante y después del embarazo. </w:t>
      </w:r>
    </w:p>
    <w:p w14:paraId="13C326F3" w14:textId="77777777" w:rsidR="003B4DFE" w:rsidRDefault="003B4DFE">
      <w:pPr>
        <w:pBdr>
          <w:top w:val="nil"/>
          <w:left w:val="nil"/>
          <w:bottom w:val="nil"/>
          <w:right w:val="nil"/>
          <w:between w:val="nil"/>
        </w:pBdr>
        <w:ind w:left="720"/>
        <w:jc w:val="both"/>
        <w:rPr>
          <w:color w:val="000000"/>
          <w:sz w:val="22"/>
          <w:szCs w:val="22"/>
        </w:rPr>
      </w:pPr>
    </w:p>
    <w:p w14:paraId="1583CCF2" w14:textId="7D89303E" w:rsidR="003B4DFE" w:rsidRDefault="009E6D93">
      <w:pPr>
        <w:numPr>
          <w:ilvl w:val="0"/>
          <w:numId w:val="1"/>
        </w:numPr>
        <w:pBdr>
          <w:top w:val="nil"/>
          <w:left w:val="nil"/>
          <w:bottom w:val="nil"/>
          <w:right w:val="nil"/>
          <w:between w:val="nil"/>
        </w:pBdr>
        <w:jc w:val="both"/>
        <w:rPr>
          <w:color w:val="000000"/>
          <w:sz w:val="22"/>
          <w:szCs w:val="22"/>
        </w:rPr>
      </w:pPr>
      <w:r>
        <w:rPr>
          <w:color w:val="000000"/>
          <w:sz w:val="22"/>
          <w:szCs w:val="22"/>
        </w:rPr>
        <w:t xml:space="preserve">Fomentar y promover los servicios de prevención y atención de las enfermedades y trastornos mentales en las mujeres gestantes, incluido un periodo de tiempo posterior al embarazo. </w:t>
      </w:r>
    </w:p>
    <w:p w14:paraId="68FFD35A" w14:textId="77777777" w:rsidR="00B03188" w:rsidRDefault="00B03188" w:rsidP="00B03188">
      <w:pPr>
        <w:pStyle w:val="Prrafodelista"/>
        <w:rPr>
          <w:color w:val="000000"/>
          <w:sz w:val="22"/>
          <w:szCs w:val="22"/>
        </w:rPr>
      </w:pPr>
    </w:p>
    <w:p w14:paraId="130CB170" w14:textId="78655A40" w:rsidR="00B03188" w:rsidRDefault="00B03188">
      <w:pPr>
        <w:numPr>
          <w:ilvl w:val="0"/>
          <w:numId w:val="1"/>
        </w:numPr>
        <w:pBdr>
          <w:top w:val="nil"/>
          <w:left w:val="nil"/>
          <w:bottom w:val="nil"/>
          <w:right w:val="nil"/>
          <w:between w:val="nil"/>
        </w:pBdr>
        <w:jc w:val="both"/>
        <w:rPr>
          <w:color w:val="000000"/>
          <w:sz w:val="22"/>
          <w:szCs w:val="22"/>
        </w:rPr>
      </w:pPr>
      <w:r>
        <w:rPr>
          <w:color w:val="000000"/>
          <w:sz w:val="22"/>
          <w:szCs w:val="22"/>
        </w:rPr>
        <w:t xml:space="preserve">Formular indicadores que permitan hacer seguimiento a la salud mental durante el periodo de gestación y/o postparto. </w:t>
      </w:r>
    </w:p>
    <w:p w14:paraId="4853B841" w14:textId="77777777" w:rsidR="003B4DFE" w:rsidRDefault="003B4DFE">
      <w:pPr>
        <w:pBdr>
          <w:top w:val="nil"/>
          <w:left w:val="nil"/>
          <w:bottom w:val="nil"/>
          <w:right w:val="nil"/>
          <w:between w:val="nil"/>
        </w:pBdr>
        <w:ind w:left="708"/>
        <w:rPr>
          <w:color w:val="000000"/>
          <w:sz w:val="22"/>
          <w:szCs w:val="22"/>
        </w:rPr>
      </w:pPr>
    </w:p>
    <w:p w14:paraId="62098721" w14:textId="77777777" w:rsidR="003B4DFE" w:rsidRDefault="009E6D93">
      <w:pPr>
        <w:jc w:val="both"/>
        <w:rPr>
          <w:sz w:val="22"/>
          <w:szCs w:val="22"/>
        </w:rPr>
      </w:pPr>
      <w:r>
        <w:rPr>
          <w:b/>
          <w:sz w:val="22"/>
          <w:szCs w:val="22"/>
        </w:rPr>
        <w:t>Parágrafo.</w:t>
      </w:r>
      <w:r>
        <w:rPr>
          <w:sz w:val="22"/>
          <w:szCs w:val="22"/>
        </w:rPr>
        <w:t xml:space="preserve"> De manera progresiva, la Administración irá complementando los lineamientos para garantizar el derecho a la salud de las mujeres durante el embarazo y posparto.</w:t>
      </w:r>
    </w:p>
    <w:p w14:paraId="50125231" w14:textId="77777777" w:rsidR="003B4DFE" w:rsidRDefault="003B4DFE">
      <w:pPr>
        <w:jc w:val="both"/>
        <w:rPr>
          <w:sz w:val="22"/>
          <w:szCs w:val="22"/>
        </w:rPr>
      </w:pPr>
    </w:p>
    <w:p w14:paraId="10185D30" w14:textId="77777777" w:rsidR="003B4DFE" w:rsidRDefault="009E6D93">
      <w:pPr>
        <w:jc w:val="both"/>
        <w:rPr>
          <w:sz w:val="22"/>
          <w:szCs w:val="22"/>
        </w:rPr>
      </w:pPr>
      <w:r>
        <w:rPr>
          <w:b/>
          <w:sz w:val="22"/>
          <w:szCs w:val="22"/>
        </w:rPr>
        <w:t>ARTÍCULO 3. ARTICULACIÓN.</w:t>
      </w:r>
      <w:r>
        <w:rPr>
          <w:sz w:val="22"/>
          <w:szCs w:val="22"/>
        </w:rPr>
        <w:t xml:space="preserve"> La Administración Distrital, a instancia de las entidades competentes, podrá georreferenciar las fundaciones, organizaciones y redes de apoyo de cuidado por localidad, UPZ, y barrios, manzanas de cuidado y las unidades móviles de servicios del cuidado para lograr la inclusión de estos entes en la articulación de los lineamientos para el fortalecimiento de la atención psicológica y psiquiátrica a mujeres durante el embarazo y el periodo posparto. </w:t>
      </w:r>
    </w:p>
    <w:p w14:paraId="5A25747A" w14:textId="77777777" w:rsidR="003B4DFE" w:rsidRDefault="003B4DFE">
      <w:pPr>
        <w:rPr>
          <w:sz w:val="22"/>
          <w:szCs w:val="22"/>
        </w:rPr>
      </w:pPr>
    </w:p>
    <w:p w14:paraId="5A86FA65" w14:textId="77777777" w:rsidR="003B4DFE" w:rsidRDefault="009E6D93">
      <w:pPr>
        <w:jc w:val="both"/>
        <w:rPr>
          <w:color w:val="000000"/>
          <w:sz w:val="22"/>
          <w:szCs w:val="22"/>
        </w:rPr>
      </w:pPr>
      <w:r>
        <w:rPr>
          <w:b/>
          <w:sz w:val="22"/>
          <w:szCs w:val="22"/>
        </w:rPr>
        <w:t>ARTÍCULO 4. DÍA DISTRITAL DE LA SALUD MENTAL MATERNA</w:t>
      </w:r>
      <w:r>
        <w:rPr>
          <w:sz w:val="22"/>
          <w:szCs w:val="22"/>
        </w:rPr>
        <w:t>. Declárese el Día Distrital de la Salud Mental Materna, el cual se conmemorará el primer miércoles del mes de mayo de cada año, siguiente a la promulgación del presente Acuerdo.</w:t>
      </w:r>
    </w:p>
    <w:p w14:paraId="09B8D95D" w14:textId="77777777" w:rsidR="003B4DFE" w:rsidRDefault="003B4DFE">
      <w:pPr>
        <w:jc w:val="both"/>
        <w:rPr>
          <w:color w:val="000000"/>
          <w:sz w:val="22"/>
          <w:szCs w:val="22"/>
        </w:rPr>
      </w:pPr>
    </w:p>
    <w:p w14:paraId="678DB996" w14:textId="77777777" w:rsidR="003B4DFE" w:rsidRDefault="009E6D93">
      <w:pPr>
        <w:jc w:val="both"/>
        <w:rPr>
          <w:sz w:val="22"/>
          <w:szCs w:val="22"/>
        </w:rPr>
      </w:pPr>
      <w:r>
        <w:rPr>
          <w:b/>
          <w:sz w:val="22"/>
          <w:szCs w:val="22"/>
        </w:rPr>
        <w:t>ARTÍCULO 5. RESPONSABILIDAD</w:t>
      </w:r>
      <w:r>
        <w:rPr>
          <w:sz w:val="22"/>
          <w:szCs w:val="22"/>
        </w:rPr>
        <w:t xml:space="preserve">. La Administración Distrital, en cabeza de la Secretaría Distrital de Salud y la Secretaría Distrital de la Mujer, serán las encargadas de la coordinación interinstitucional para la implementación de las disposiciones de este Acuerdo. </w:t>
      </w:r>
    </w:p>
    <w:p w14:paraId="78BEFD2A" w14:textId="77777777" w:rsidR="003B4DFE" w:rsidRDefault="003B4DFE">
      <w:pPr>
        <w:jc w:val="both"/>
        <w:rPr>
          <w:color w:val="000000"/>
          <w:sz w:val="22"/>
          <w:szCs w:val="22"/>
        </w:rPr>
      </w:pPr>
    </w:p>
    <w:p w14:paraId="17B56545" w14:textId="77777777" w:rsidR="003B4DFE" w:rsidRDefault="009E6D93">
      <w:pPr>
        <w:jc w:val="both"/>
        <w:rPr>
          <w:color w:val="000000"/>
          <w:sz w:val="22"/>
          <w:szCs w:val="22"/>
        </w:rPr>
      </w:pPr>
      <w:r>
        <w:rPr>
          <w:b/>
          <w:color w:val="000000"/>
          <w:sz w:val="22"/>
          <w:szCs w:val="22"/>
        </w:rPr>
        <w:t>ARTÍCULO 6. VIGENCIA.</w:t>
      </w:r>
      <w:r>
        <w:rPr>
          <w:color w:val="000000"/>
          <w:sz w:val="22"/>
          <w:szCs w:val="22"/>
        </w:rPr>
        <w:t xml:space="preserve"> El presente Acuerdo rige a partir de su publicación. </w:t>
      </w:r>
    </w:p>
    <w:p w14:paraId="27A76422" w14:textId="77777777" w:rsidR="003B4DFE" w:rsidRDefault="003B4DFE">
      <w:pPr>
        <w:jc w:val="both"/>
        <w:rPr>
          <w:color w:val="000000"/>
          <w:sz w:val="22"/>
          <w:szCs w:val="22"/>
        </w:rPr>
      </w:pPr>
    </w:p>
    <w:p w14:paraId="46D0C747" w14:textId="77777777" w:rsidR="003B4DFE" w:rsidRDefault="009E6D93">
      <w:pPr>
        <w:jc w:val="center"/>
        <w:rPr>
          <w:color w:val="000000"/>
          <w:sz w:val="22"/>
          <w:szCs w:val="22"/>
        </w:rPr>
      </w:pPr>
      <w:r>
        <w:rPr>
          <w:b/>
          <w:color w:val="000000"/>
          <w:sz w:val="22"/>
          <w:szCs w:val="22"/>
        </w:rPr>
        <w:t>PUBLÍQUESE Y CÚMPLASE</w:t>
      </w:r>
    </w:p>
    <w:p w14:paraId="49206A88" w14:textId="77777777" w:rsidR="003B4DFE" w:rsidRDefault="003B4DFE">
      <w:pPr>
        <w:jc w:val="center"/>
        <w:rPr>
          <w:b/>
          <w:color w:val="000000"/>
          <w:sz w:val="22"/>
          <w:szCs w:val="22"/>
        </w:rPr>
      </w:pPr>
    </w:p>
    <w:sectPr w:rsidR="003B4DFE">
      <w:headerReference w:type="default" r:id="rId13"/>
      <w:footerReference w:type="even" r:id="rId14"/>
      <w:footerReference w:type="default" r:id="rId15"/>
      <w:pgSz w:w="12242" w:h="15842"/>
      <w:pgMar w:top="1701" w:right="1701" w:bottom="1276" w:left="1701" w:header="1134"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9CBFB" w14:textId="77777777" w:rsidR="00F24268" w:rsidRDefault="00F24268">
      <w:r>
        <w:separator/>
      </w:r>
    </w:p>
  </w:endnote>
  <w:endnote w:type="continuationSeparator" w:id="0">
    <w:p w14:paraId="7049104E" w14:textId="77777777" w:rsidR="00F24268" w:rsidRDefault="00F2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EDD17" w14:textId="77777777" w:rsidR="00F24268" w:rsidRDefault="00F2426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6BF89DA3" w14:textId="77777777" w:rsidR="00F24268" w:rsidRDefault="00F2426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860BB" w14:textId="77777777" w:rsidR="00F24268" w:rsidRDefault="00F24268">
    <w:pPr>
      <w:pBdr>
        <w:top w:val="nil"/>
        <w:left w:val="nil"/>
        <w:bottom w:val="nil"/>
        <w:right w:val="nil"/>
        <w:between w:val="nil"/>
      </w:pBdr>
      <w:tabs>
        <w:tab w:val="center" w:pos="4252"/>
        <w:tab w:val="right" w:pos="8504"/>
      </w:tabs>
      <w:jc w:val="center"/>
      <w:rPr>
        <w:color w:val="000000"/>
        <w:sz w:val="18"/>
        <w:szCs w:val="18"/>
      </w:rPr>
    </w:pPr>
  </w:p>
  <w:p w14:paraId="698536F5" w14:textId="77777777" w:rsidR="00F24268" w:rsidRDefault="00F24268">
    <w:pPr>
      <w:pBdr>
        <w:top w:val="nil"/>
        <w:left w:val="nil"/>
        <w:bottom w:val="nil"/>
        <w:right w:val="nil"/>
        <w:between w:val="nil"/>
      </w:pBdr>
      <w:tabs>
        <w:tab w:val="center" w:pos="4252"/>
        <w:tab w:val="right" w:pos="8504"/>
      </w:tabs>
      <w:jc w:val="center"/>
      <w:rPr>
        <w:color w:val="000000"/>
        <w:sz w:val="18"/>
        <w:szCs w:val="18"/>
      </w:rPr>
    </w:pPr>
  </w:p>
  <w:p w14:paraId="7BC1BAF2" w14:textId="77777777" w:rsidR="00F24268" w:rsidRDefault="00F24268">
    <w:pPr>
      <w:pBdr>
        <w:top w:val="nil"/>
        <w:left w:val="nil"/>
        <w:bottom w:val="nil"/>
        <w:right w:val="nil"/>
        <w:between w:val="nil"/>
      </w:pBdr>
      <w:tabs>
        <w:tab w:val="center" w:pos="4252"/>
        <w:tab w:val="right" w:pos="8504"/>
      </w:tabs>
      <w:jc w:val="center"/>
      <w:rPr>
        <w:color w:val="000000"/>
        <w:sz w:val="16"/>
        <w:szCs w:val="16"/>
      </w:rPr>
    </w:pPr>
  </w:p>
  <w:p w14:paraId="61C988F9" w14:textId="77777777" w:rsidR="00F24268" w:rsidRDefault="00F24268">
    <w:pPr>
      <w:pBdr>
        <w:top w:val="nil"/>
        <w:left w:val="nil"/>
        <w:bottom w:val="nil"/>
        <w:right w:val="nil"/>
        <w:between w:val="nil"/>
      </w:pBdr>
      <w:tabs>
        <w:tab w:val="center" w:pos="4252"/>
        <w:tab w:val="right" w:pos="8504"/>
      </w:tabs>
      <w:rPr>
        <w:color w:val="000000"/>
        <w:sz w:val="16"/>
        <w:szCs w:val="16"/>
      </w:rPr>
    </w:pPr>
  </w:p>
  <w:p w14:paraId="3B22BB7D" w14:textId="77777777" w:rsidR="00F24268" w:rsidRDefault="00F24268">
    <w:pPr>
      <w:pBdr>
        <w:top w:val="nil"/>
        <w:left w:val="nil"/>
        <w:bottom w:val="nil"/>
        <w:right w:val="nil"/>
        <w:between w:val="nil"/>
      </w:pBdr>
      <w:tabs>
        <w:tab w:val="center" w:pos="4252"/>
        <w:tab w:val="right" w:pos="8504"/>
      </w:tabs>
      <w:rPr>
        <w:color w:val="000000"/>
        <w:sz w:val="16"/>
        <w:szCs w:val="16"/>
      </w:rPr>
    </w:pPr>
  </w:p>
  <w:p w14:paraId="17B246DD" w14:textId="77777777" w:rsidR="00F24268" w:rsidRDefault="00F24268">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187F1" w14:textId="77777777" w:rsidR="00F24268" w:rsidRDefault="00F24268">
      <w:r>
        <w:separator/>
      </w:r>
    </w:p>
  </w:footnote>
  <w:footnote w:type="continuationSeparator" w:id="0">
    <w:p w14:paraId="5B569996" w14:textId="77777777" w:rsidR="00F24268" w:rsidRDefault="00F24268">
      <w:r>
        <w:continuationSeparator/>
      </w:r>
    </w:p>
  </w:footnote>
  <w:footnote w:id="1">
    <w:p w14:paraId="17901F50" w14:textId="77777777" w:rsidR="00F24268" w:rsidRDefault="00F24268">
      <w:pPr>
        <w:pBdr>
          <w:top w:val="nil"/>
          <w:left w:val="nil"/>
          <w:bottom w:val="nil"/>
          <w:right w:val="nil"/>
          <w:between w:val="nil"/>
        </w:pBdr>
        <w:jc w:val="both"/>
        <w:rPr>
          <w:color w:val="000000"/>
          <w:sz w:val="16"/>
          <w:szCs w:val="16"/>
        </w:rPr>
      </w:pPr>
      <w:r>
        <w:rPr>
          <w:vertAlign w:val="superscript"/>
        </w:rPr>
        <w:footnoteRef/>
      </w:r>
      <w:r>
        <w:rPr>
          <w:color w:val="000000"/>
          <w:sz w:val="16"/>
          <w:szCs w:val="16"/>
        </w:rPr>
        <w:t xml:space="preserve"> Secretaría Distrital de Salud de Bogotá. (S.f). Cero indiferencia con la mortalidad materna y perinatal. </w:t>
      </w:r>
      <w:hyperlink r:id="rId1">
        <w:r>
          <w:rPr>
            <w:color w:val="000000"/>
            <w:sz w:val="16"/>
            <w:szCs w:val="16"/>
          </w:rPr>
          <w:t>http://www.saludcapital.gov.co/DDS/Publicaciones/Pol%C3%ADtica%20salud%20materna%20mayo%20de%202007.pdf</w:t>
        </w:r>
      </w:hyperlink>
      <w:r>
        <w:rPr>
          <w:color w:val="000000"/>
          <w:sz w:val="16"/>
          <w:szCs w:val="16"/>
        </w:rPr>
        <w:t xml:space="preserve"> </w:t>
      </w:r>
    </w:p>
  </w:footnote>
  <w:footnote w:id="2">
    <w:p w14:paraId="3CCD9CC3" w14:textId="77777777" w:rsidR="00F24268" w:rsidRPr="00D215FF" w:rsidRDefault="00F24268">
      <w:pPr>
        <w:pBdr>
          <w:top w:val="nil"/>
          <w:left w:val="nil"/>
          <w:bottom w:val="nil"/>
          <w:right w:val="nil"/>
          <w:between w:val="nil"/>
        </w:pBdr>
        <w:jc w:val="both"/>
        <w:rPr>
          <w:color w:val="000000"/>
          <w:sz w:val="12"/>
          <w:szCs w:val="12"/>
        </w:rPr>
      </w:pPr>
      <w:r w:rsidRPr="00D215FF">
        <w:rPr>
          <w:sz w:val="12"/>
          <w:szCs w:val="12"/>
          <w:vertAlign w:val="superscript"/>
        </w:rPr>
        <w:footnoteRef/>
      </w:r>
      <w:r w:rsidRPr="00D215FF">
        <w:rPr>
          <w:color w:val="000000"/>
          <w:sz w:val="12"/>
          <w:szCs w:val="12"/>
        </w:rPr>
        <w:t xml:space="preserve"> National Institute for Health and Care Excellence (NICE) (2014). Antenatal and postnatal mental health: clinical management and service guidance.</w:t>
      </w:r>
      <w:hyperlink r:id="rId2">
        <w:r w:rsidRPr="00D215FF">
          <w:rPr>
            <w:color w:val="000000"/>
            <w:sz w:val="12"/>
            <w:szCs w:val="12"/>
          </w:rPr>
          <w:t>https://www.nice.org.uk/guidance/cg192/resources/antenatal-and-postnatal-mental-health-clinical-management-and-service-guidance-pdf-35109869806789</w:t>
        </w:r>
      </w:hyperlink>
      <w:r w:rsidRPr="00D215FF">
        <w:rPr>
          <w:color w:val="000000"/>
          <w:sz w:val="12"/>
          <w:szCs w:val="12"/>
        </w:rPr>
        <w:t xml:space="preserve"> </w:t>
      </w:r>
    </w:p>
  </w:footnote>
  <w:footnote w:id="3">
    <w:p w14:paraId="2EC15656" w14:textId="77777777" w:rsidR="00F24268" w:rsidRPr="00D215FF" w:rsidRDefault="00F24268">
      <w:pPr>
        <w:jc w:val="both"/>
        <w:rPr>
          <w:sz w:val="12"/>
          <w:szCs w:val="12"/>
        </w:rPr>
      </w:pPr>
      <w:r w:rsidRPr="00D215FF">
        <w:rPr>
          <w:sz w:val="12"/>
          <w:szCs w:val="12"/>
          <w:vertAlign w:val="superscript"/>
        </w:rPr>
        <w:footnoteRef/>
      </w:r>
      <w:r w:rsidRPr="00D215FF">
        <w:rPr>
          <w:color w:val="000000"/>
          <w:sz w:val="12"/>
          <w:szCs w:val="12"/>
        </w:rPr>
        <w:t xml:space="preserve"> Bydlowsky, M., 1997. La dette de vie. Itinérare psychanalytique de la maternité. París : Presses Universitaires de France. </w:t>
      </w:r>
      <w:hyperlink r:id="rId3">
        <w:r w:rsidRPr="00D215FF">
          <w:rPr>
            <w:color w:val="000000"/>
            <w:sz w:val="12"/>
            <w:szCs w:val="12"/>
          </w:rPr>
          <w:t>https://iris.paho.org/bitstream/handle/10665.2/51594/9789275332498_spa.pdf?sequence=1&amp;isAllowed=y</w:t>
        </w:r>
      </w:hyperlink>
      <w:r w:rsidRPr="00D215FF">
        <w:rPr>
          <w:color w:val="000000"/>
          <w:sz w:val="12"/>
          <w:szCs w:val="12"/>
        </w:rPr>
        <w:t xml:space="preserve"> </w:t>
      </w:r>
    </w:p>
  </w:footnote>
  <w:footnote w:id="4">
    <w:p w14:paraId="325394FE" w14:textId="77777777" w:rsidR="00F24268" w:rsidRPr="00D215FF" w:rsidRDefault="00F24268">
      <w:pPr>
        <w:jc w:val="both"/>
        <w:rPr>
          <w:sz w:val="12"/>
          <w:szCs w:val="12"/>
        </w:rPr>
      </w:pPr>
      <w:r w:rsidRPr="00D215FF">
        <w:rPr>
          <w:sz w:val="12"/>
          <w:szCs w:val="12"/>
          <w:vertAlign w:val="superscript"/>
        </w:rPr>
        <w:footnoteRef/>
      </w:r>
      <w:r w:rsidRPr="00D215FF">
        <w:rPr>
          <w:color w:val="000000"/>
          <w:sz w:val="12"/>
          <w:szCs w:val="12"/>
        </w:rPr>
        <w:t xml:space="preserve"> Lecanuet, J.P., Granier-Deferre C., Schaal B., 1992. Les Systemes sensoriels du fœtus. En : M. Soule, et al., eds. 1992. Introduction à la psychatrie fœtale. París : ESF Éditeur, pp.43-70 </w:t>
      </w:r>
      <w:hyperlink r:id="rId4">
        <w:r w:rsidRPr="00D215FF">
          <w:rPr>
            <w:color w:val="000000"/>
            <w:sz w:val="12"/>
            <w:szCs w:val="12"/>
          </w:rPr>
          <w:t>https://iris.paho.org/bitstream/handle/10665.2/51594/9789275332498_spa.pdf?sequence=1&amp;isAllowed=y</w:t>
        </w:r>
      </w:hyperlink>
      <w:r w:rsidRPr="00D215FF">
        <w:rPr>
          <w:color w:val="000000"/>
          <w:sz w:val="12"/>
          <w:szCs w:val="12"/>
        </w:rPr>
        <w:t xml:space="preserve"> </w:t>
      </w:r>
    </w:p>
  </w:footnote>
  <w:footnote w:id="5">
    <w:p w14:paraId="5EF2AC5E" w14:textId="77777777" w:rsidR="00F24268" w:rsidRPr="00D215FF" w:rsidRDefault="00F24268">
      <w:pPr>
        <w:pBdr>
          <w:top w:val="nil"/>
          <w:left w:val="nil"/>
          <w:bottom w:val="nil"/>
          <w:right w:val="nil"/>
          <w:between w:val="nil"/>
        </w:pBdr>
        <w:jc w:val="both"/>
        <w:rPr>
          <w:color w:val="000000"/>
          <w:sz w:val="12"/>
          <w:szCs w:val="12"/>
        </w:rPr>
      </w:pPr>
      <w:r w:rsidRPr="00D215FF">
        <w:rPr>
          <w:sz w:val="12"/>
          <w:szCs w:val="12"/>
          <w:vertAlign w:val="superscript"/>
        </w:rPr>
        <w:footnoteRef/>
      </w:r>
      <w:r w:rsidRPr="00D215FF">
        <w:rPr>
          <w:color w:val="000000"/>
          <w:sz w:val="12"/>
          <w:szCs w:val="12"/>
        </w:rPr>
        <w:t xml:space="preserve"> Organización Panamericana de la Salud, (2011). J. Martín Maldonado-Durán. Salud Mental Perinatal. (Página 9) </w:t>
      </w:r>
      <w:hyperlink r:id="rId5">
        <w:r w:rsidRPr="00D215FF">
          <w:rPr>
            <w:color w:val="000000"/>
            <w:sz w:val="12"/>
            <w:szCs w:val="12"/>
          </w:rPr>
          <w:t>https://iris.paho.org/bitstream/handle/10665.2/51594/9789275332498_spa.pdf?sequence=1&amp;isAllowed=y</w:t>
        </w:r>
      </w:hyperlink>
    </w:p>
  </w:footnote>
  <w:footnote w:id="6">
    <w:p w14:paraId="25804862" w14:textId="77777777" w:rsidR="00F24268" w:rsidRDefault="00F24268">
      <w:pPr>
        <w:jc w:val="both"/>
        <w:rPr>
          <w:color w:val="000000"/>
          <w:sz w:val="12"/>
          <w:szCs w:val="12"/>
        </w:rPr>
      </w:pPr>
      <w:r w:rsidRPr="00D215FF">
        <w:rPr>
          <w:sz w:val="12"/>
          <w:szCs w:val="12"/>
          <w:vertAlign w:val="superscript"/>
        </w:rPr>
        <w:footnoteRef/>
      </w:r>
      <w:r w:rsidRPr="00D215FF">
        <w:rPr>
          <w:color w:val="000000"/>
          <w:sz w:val="12"/>
          <w:szCs w:val="12"/>
        </w:rPr>
        <w:t xml:space="preserve"> Grammer, K., Schreiner, S., Artzmuller, M., Dittami, J., 2002. Die evolutionäre Psychologie des Kindes : soziale Intelligenz und Überleben. En : K.W. Alt, A.K. Grottenhaler, eds., 2002. Kinderwelten. Colonia: Böhlau, pp.6-23.</w:t>
      </w:r>
    </w:p>
  </w:footnote>
  <w:footnote w:id="7">
    <w:p w14:paraId="4E2F504F" w14:textId="77777777" w:rsidR="00F24268" w:rsidRPr="00D215FF" w:rsidRDefault="00F24268">
      <w:pPr>
        <w:jc w:val="both"/>
        <w:rPr>
          <w:sz w:val="12"/>
          <w:szCs w:val="12"/>
        </w:rPr>
      </w:pPr>
      <w:r w:rsidRPr="00D215FF">
        <w:rPr>
          <w:sz w:val="12"/>
          <w:szCs w:val="12"/>
          <w:vertAlign w:val="superscript"/>
        </w:rPr>
        <w:footnoteRef/>
      </w:r>
      <w:r w:rsidRPr="00D215FF">
        <w:rPr>
          <w:color w:val="000000"/>
          <w:sz w:val="12"/>
          <w:szCs w:val="12"/>
        </w:rPr>
        <w:t xml:space="preserve"> Coussons-Read, M., Okun, M., Simms, S., 2003. The pychoneuroimmunology of pregnancy. Journal of Reproductive and Infant Psychology, 21(2), pp.103-112.</w:t>
      </w:r>
    </w:p>
  </w:footnote>
  <w:footnote w:id="8">
    <w:p w14:paraId="4384D295" w14:textId="09551DBB" w:rsidR="00F24268" w:rsidRDefault="00F24268" w:rsidP="007A3405">
      <w:pPr>
        <w:pStyle w:val="Textonotapie"/>
        <w:rPr>
          <w:sz w:val="12"/>
          <w:szCs w:val="12"/>
        </w:rPr>
      </w:pPr>
      <w:r w:rsidRPr="640F004F">
        <w:rPr>
          <w:rStyle w:val="Refdenotaalpie"/>
        </w:rPr>
        <w:footnoteRef/>
      </w:r>
      <w:r>
        <w:t xml:space="preserve"> </w:t>
      </w:r>
      <w:r w:rsidRPr="007A3405">
        <w:rPr>
          <w:sz w:val="12"/>
          <w:szCs w:val="12"/>
        </w:rPr>
        <w:t>Organización Panamericana de la Salud. (2024). Reducción de mortalidad materna: Una causa que compromete a Colombia. Obtenido de https://www.paho.org/es/noticias/9-5-2024-reduccion-mortalidad-materna-causa-que-compromete-colombia</w:t>
      </w:r>
    </w:p>
  </w:footnote>
  <w:footnote w:id="9">
    <w:p w14:paraId="6CF5AAD2" w14:textId="64E0DFF8" w:rsidR="00F24268" w:rsidRPr="00457FD1" w:rsidRDefault="00F24268" w:rsidP="00457FD1">
      <w:pPr>
        <w:pStyle w:val="Textonotapie"/>
        <w:jc w:val="both"/>
        <w:rPr>
          <w:color w:val="000000" w:themeColor="text1"/>
          <w:sz w:val="12"/>
          <w:szCs w:val="12"/>
        </w:rPr>
      </w:pPr>
      <w:r w:rsidRPr="00457FD1">
        <w:rPr>
          <w:rStyle w:val="Refdenotaalpie"/>
          <w:sz w:val="12"/>
          <w:szCs w:val="12"/>
        </w:rPr>
        <w:footnoteRef/>
      </w:r>
      <w:r w:rsidRPr="00457FD1">
        <w:rPr>
          <w:sz w:val="12"/>
          <w:szCs w:val="12"/>
        </w:rPr>
        <w:t xml:space="preserve"> </w:t>
      </w:r>
      <w:r w:rsidRPr="00457FD1">
        <w:rPr>
          <w:color w:val="000000" w:themeColor="text1"/>
          <w:sz w:val="12"/>
          <w:szCs w:val="12"/>
        </w:rPr>
        <w:t>Infobae. (2023). Qué pasa con la salud mental de las madres colombianas: 10 de cada 100 podrían padecer depresión y ansiedad. Obtenido de</w:t>
      </w:r>
      <w:hyperlink r:id="rId6" w:history="1">
        <w:r w:rsidRPr="00457FD1">
          <w:rPr>
            <w:rStyle w:val="Hipervnculo"/>
            <w:sz w:val="12"/>
            <w:szCs w:val="12"/>
          </w:rPr>
          <w:t xml:space="preserve"> </w:t>
        </w:r>
      </w:hyperlink>
      <w:r w:rsidRPr="00457FD1">
        <w:rPr>
          <w:color w:val="000000" w:themeColor="text1"/>
          <w:sz w:val="12"/>
          <w:szCs w:val="12"/>
        </w:rPr>
        <w:t>https://www.infobae.com/colombia/2023/05/03/salud-mental-en-las-madres-colombianas-10-de-cada-100-mujeres-pueden-padecer-depresion-y-ansiedad/</w:t>
      </w:r>
    </w:p>
  </w:footnote>
  <w:footnote w:id="10">
    <w:p w14:paraId="7334A462" w14:textId="754B47B9" w:rsidR="00F24268" w:rsidRPr="00457FD1" w:rsidRDefault="00F24268" w:rsidP="00457FD1">
      <w:pPr>
        <w:jc w:val="both"/>
        <w:rPr>
          <w:rStyle w:val="Hipervnculo"/>
          <w:sz w:val="12"/>
          <w:szCs w:val="12"/>
        </w:rPr>
      </w:pPr>
      <w:r w:rsidRPr="00457FD1">
        <w:rPr>
          <w:rStyle w:val="Refdenotaalpie"/>
          <w:sz w:val="12"/>
          <w:szCs w:val="12"/>
        </w:rPr>
        <w:footnoteRef/>
      </w:r>
      <w:r w:rsidRPr="00457FD1">
        <w:rPr>
          <w:sz w:val="12"/>
          <w:szCs w:val="12"/>
        </w:rPr>
        <w:t xml:space="preserve"> </w:t>
      </w:r>
      <w:r w:rsidRPr="00457FD1">
        <w:rPr>
          <w:color w:val="000000" w:themeColor="text1"/>
          <w:sz w:val="12"/>
          <w:szCs w:val="12"/>
        </w:rPr>
        <w:t xml:space="preserve">Revista Fecolsog. (2024). Salud mental materna en Colombia. Obtenido de </w:t>
      </w:r>
      <w:hyperlink r:id="rId7" w:history="1">
        <w:r w:rsidRPr="00457FD1">
          <w:rPr>
            <w:rStyle w:val="Hipervnculo"/>
            <w:sz w:val="12"/>
            <w:szCs w:val="12"/>
          </w:rPr>
          <w:t>https://revista.fecolsog.org/index.php/rcog/article/view/3821</w:t>
        </w:r>
      </w:hyperlink>
    </w:p>
    <w:p w14:paraId="23A58F83" w14:textId="51A0FBCD" w:rsidR="00F24268" w:rsidRPr="00457FD1" w:rsidRDefault="00F24268" w:rsidP="00457FD1">
      <w:pPr>
        <w:jc w:val="both"/>
        <w:rPr>
          <w:sz w:val="12"/>
          <w:szCs w:val="12"/>
        </w:rPr>
      </w:pPr>
    </w:p>
    <w:p w14:paraId="3CAF5F13" w14:textId="4DF1B347" w:rsidR="00F24268" w:rsidRPr="00457FD1" w:rsidRDefault="00F24268" w:rsidP="00457FD1">
      <w:pPr>
        <w:pStyle w:val="Textonotapie"/>
        <w:jc w:val="both"/>
        <w:rPr>
          <w:sz w:val="12"/>
          <w:szCs w:val="12"/>
        </w:rPr>
      </w:pPr>
    </w:p>
  </w:footnote>
  <w:footnote w:id="11">
    <w:p w14:paraId="30D56F95" w14:textId="43848F71" w:rsidR="00F24268" w:rsidRDefault="00F24268" w:rsidP="00457FD1">
      <w:pPr>
        <w:pStyle w:val="Textonotapie"/>
        <w:jc w:val="both"/>
        <w:rPr>
          <w:color w:val="000000" w:themeColor="text1"/>
          <w:sz w:val="12"/>
          <w:szCs w:val="12"/>
        </w:rPr>
      </w:pPr>
      <w:r w:rsidRPr="00457FD1">
        <w:rPr>
          <w:rStyle w:val="Refdenotaalpie"/>
          <w:sz w:val="12"/>
          <w:szCs w:val="12"/>
        </w:rPr>
        <w:footnoteRef/>
      </w:r>
      <w:r w:rsidRPr="00457FD1">
        <w:rPr>
          <w:sz w:val="12"/>
          <w:szCs w:val="12"/>
        </w:rPr>
        <w:t xml:space="preserve"> </w:t>
      </w:r>
      <w:r w:rsidRPr="00457FD1">
        <w:rPr>
          <w:color w:val="000000" w:themeColor="text1"/>
          <w:sz w:val="12"/>
          <w:szCs w:val="12"/>
        </w:rPr>
        <w:t>Infobae. (2023). La depresión posparto: un desafío para la salud mental de las mujeres en Colombia. Obtenido de https://www.infobae.com/america/inhouse/2023/07/11/la-depresion-posparto-un-desafio-para-la-salud-mental-de-las-mujeres-en-colombia/#:~:text=La%20depresi%C3%B3n%20posparto%20es%20un,experimentan%20s%C3%ADntomas%20de%20depresi%C3%B3n%20posparto.</w:t>
      </w:r>
    </w:p>
  </w:footnote>
  <w:footnote w:id="12">
    <w:p w14:paraId="26EB5DC1" w14:textId="77777777" w:rsidR="00F24268" w:rsidRPr="00D61EC5" w:rsidRDefault="00F24268">
      <w:pPr>
        <w:pBdr>
          <w:top w:val="nil"/>
          <w:left w:val="nil"/>
          <w:bottom w:val="nil"/>
          <w:right w:val="nil"/>
          <w:between w:val="nil"/>
        </w:pBdr>
        <w:jc w:val="both"/>
        <w:rPr>
          <w:color w:val="000000"/>
          <w:sz w:val="12"/>
          <w:szCs w:val="12"/>
        </w:rPr>
      </w:pPr>
      <w:r w:rsidRPr="00D61EC5">
        <w:rPr>
          <w:sz w:val="12"/>
          <w:szCs w:val="12"/>
          <w:vertAlign w:val="superscript"/>
        </w:rPr>
        <w:footnoteRef/>
      </w:r>
      <w:r w:rsidRPr="00D61EC5">
        <w:rPr>
          <w:color w:val="000000"/>
          <w:sz w:val="12"/>
          <w:szCs w:val="12"/>
        </w:rPr>
        <w:t xml:space="preserve"> Ministerio de Salud y Protección Social (2021). Salud Materna.  </w:t>
      </w:r>
      <w:hyperlink r:id="rId8">
        <w:r w:rsidRPr="00D61EC5">
          <w:rPr>
            <w:color w:val="000000"/>
            <w:sz w:val="12"/>
            <w:szCs w:val="12"/>
          </w:rPr>
          <w:t>https://www.minsalud.gov.co/salud/publica/ssr/Paginas/salud-materna.aspx</w:t>
        </w:r>
      </w:hyperlink>
      <w:r w:rsidRPr="00D61EC5">
        <w:rPr>
          <w:color w:val="000000"/>
          <w:sz w:val="12"/>
          <w:szCs w:val="12"/>
        </w:rPr>
        <w:t xml:space="preserve"> </w:t>
      </w:r>
    </w:p>
  </w:footnote>
  <w:footnote w:id="13">
    <w:p w14:paraId="78692F4C" w14:textId="77777777" w:rsidR="00F24268" w:rsidRPr="00D61EC5" w:rsidRDefault="00F24268">
      <w:pPr>
        <w:pBdr>
          <w:top w:val="nil"/>
          <w:left w:val="nil"/>
          <w:bottom w:val="nil"/>
          <w:right w:val="nil"/>
          <w:between w:val="nil"/>
        </w:pBdr>
        <w:jc w:val="both"/>
        <w:rPr>
          <w:color w:val="000000"/>
          <w:sz w:val="12"/>
          <w:szCs w:val="12"/>
        </w:rPr>
      </w:pPr>
      <w:r w:rsidRPr="00D61EC5">
        <w:rPr>
          <w:sz w:val="12"/>
          <w:szCs w:val="12"/>
          <w:vertAlign w:val="superscript"/>
        </w:rPr>
        <w:footnoteRef/>
      </w:r>
      <w:r w:rsidRPr="00D61EC5">
        <w:rPr>
          <w:color w:val="000000"/>
          <w:sz w:val="12"/>
          <w:szCs w:val="12"/>
        </w:rPr>
        <w:t xml:space="preserve"> Veeduría Distrital (2019) DIAGNÓSTICO DE LA IMPLEMENTACIÓN DE LA RUTA INTEGRAL DE ATENCIONES PARA LA PRIMERA INFANCIA EN EL DISTRITO.  </w:t>
      </w:r>
    </w:p>
    <w:p w14:paraId="7E171747" w14:textId="77777777" w:rsidR="00F24268" w:rsidRDefault="00903FE3">
      <w:pPr>
        <w:pBdr>
          <w:top w:val="nil"/>
          <w:left w:val="nil"/>
          <w:bottom w:val="nil"/>
          <w:right w:val="nil"/>
          <w:between w:val="nil"/>
        </w:pBdr>
        <w:jc w:val="both"/>
        <w:rPr>
          <w:rFonts w:ascii="Calibri" w:eastAsia="Calibri" w:hAnsi="Calibri" w:cs="Calibri"/>
          <w:color w:val="000000"/>
          <w:sz w:val="20"/>
          <w:szCs w:val="20"/>
        </w:rPr>
      </w:pPr>
      <w:hyperlink r:id="rId9">
        <w:r w:rsidR="00F24268" w:rsidRPr="00D61EC5">
          <w:rPr>
            <w:color w:val="000000"/>
            <w:sz w:val="12"/>
            <w:szCs w:val="12"/>
          </w:rPr>
          <w:t>http://veeduriadistrital.gov.co/sites/default/files/files/Publicaciones2019/Diagnostico%20de%20la%20implementacion%20de%20la%20Ruta%20Integral%20de%20Atenciones%20para%20la%20Primera%20Infancia%20en%20el%20Distrito%20(Junio%202019)%20VF%20(29%20ago%2019).pdf</w:t>
        </w:r>
      </w:hyperlink>
      <w:r w:rsidR="00F24268">
        <w:rPr>
          <w:rFonts w:ascii="Calibri" w:eastAsia="Calibri" w:hAnsi="Calibri" w:cs="Calibri"/>
          <w:color w:val="000000"/>
          <w:sz w:val="12"/>
          <w:szCs w:val="12"/>
        </w:rPr>
        <w:t xml:space="preserve"> </w:t>
      </w:r>
    </w:p>
  </w:footnote>
  <w:footnote w:id="14">
    <w:p w14:paraId="35619D30" w14:textId="77777777" w:rsidR="00F24268" w:rsidRPr="00D61EC5" w:rsidRDefault="00F24268">
      <w:pPr>
        <w:pBdr>
          <w:top w:val="nil"/>
          <w:left w:val="nil"/>
          <w:bottom w:val="nil"/>
          <w:right w:val="nil"/>
          <w:between w:val="nil"/>
        </w:pBdr>
        <w:jc w:val="both"/>
        <w:rPr>
          <w:color w:val="000000"/>
          <w:sz w:val="12"/>
          <w:szCs w:val="12"/>
        </w:rPr>
      </w:pPr>
      <w:r w:rsidRPr="00D61EC5">
        <w:rPr>
          <w:sz w:val="12"/>
          <w:szCs w:val="12"/>
          <w:vertAlign w:val="superscript"/>
        </w:rPr>
        <w:footnoteRef/>
      </w:r>
      <w:r w:rsidRPr="00D61EC5">
        <w:rPr>
          <w:color w:val="000000"/>
          <w:sz w:val="12"/>
          <w:szCs w:val="12"/>
        </w:rPr>
        <w:t xml:space="preserve"> The National Institute of Mental Health, s.f. Depresión perinatal. </w:t>
      </w:r>
      <w:hyperlink r:id="rId10">
        <w:r w:rsidRPr="00D61EC5">
          <w:rPr>
            <w:color w:val="000000"/>
            <w:sz w:val="12"/>
            <w:szCs w:val="12"/>
          </w:rPr>
          <w:t>https://www.nimh.nih.gov/health/publications/espanol/depresion-perinatal/</w:t>
        </w:r>
      </w:hyperlink>
      <w:r w:rsidRPr="00D61EC5">
        <w:rPr>
          <w:color w:val="000000"/>
          <w:sz w:val="12"/>
          <w:szCs w:val="12"/>
        </w:rPr>
        <w:t xml:space="preserve"> </w:t>
      </w:r>
    </w:p>
  </w:footnote>
  <w:footnote w:id="15">
    <w:p w14:paraId="5EA90193" w14:textId="77777777" w:rsidR="00F24268" w:rsidRPr="00820380" w:rsidRDefault="00F24268">
      <w:pPr>
        <w:pBdr>
          <w:top w:val="nil"/>
          <w:left w:val="nil"/>
          <w:bottom w:val="nil"/>
          <w:right w:val="nil"/>
          <w:between w:val="nil"/>
        </w:pBdr>
        <w:spacing w:after="200" w:line="276" w:lineRule="auto"/>
        <w:jc w:val="both"/>
        <w:rPr>
          <w:color w:val="000000"/>
          <w:sz w:val="12"/>
          <w:szCs w:val="12"/>
        </w:rPr>
      </w:pPr>
      <w:r w:rsidRPr="00820380">
        <w:rPr>
          <w:sz w:val="12"/>
          <w:szCs w:val="12"/>
          <w:vertAlign w:val="superscript"/>
        </w:rPr>
        <w:footnoteRef/>
      </w:r>
      <w:r w:rsidRPr="00820380">
        <w:rPr>
          <w:color w:val="000000"/>
          <w:sz w:val="12"/>
          <w:szCs w:val="12"/>
        </w:rPr>
        <w:t xml:space="preserve"> Sociedad Marcé Española (MARES), 2021, recuperado de: https://www.sociedadmarce.org/dia-mundial-SMM.cfm/ID/6887/MARES/dia-muEdial-salud-mental-materna.htm</w:t>
      </w:r>
    </w:p>
  </w:footnote>
  <w:footnote w:id="16">
    <w:p w14:paraId="3D0BB3D1" w14:textId="1006DB19" w:rsidR="00F24268" w:rsidRDefault="00F24268">
      <w:pPr>
        <w:pStyle w:val="Textonotapie"/>
      </w:pPr>
      <w:r w:rsidRPr="00820380">
        <w:rPr>
          <w:rStyle w:val="Refdenotaalpie"/>
          <w:sz w:val="12"/>
          <w:szCs w:val="12"/>
        </w:rPr>
        <w:footnoteRef/>
      </w:r>
      <w:r w:rsidRPr="00820380">
        <w:rPr>
          <w:sz w:val="12"/>
          <w:szCs w:val="12"/>
        </w:rPr>
        <w:t xml:space="preserve"> Secretaría Distrital de Salud, 2024. Respuesta proposición 710 de 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E0E74" w14:textId="77777777" w:rsidR="00F24268" w:rsidRDefault="00F24268">
    <w:pPr>
      <w:widowControl w:val="0"/>
      <w:pBdr>
        <w:top w:val="nil"/>
        <w:left w:val="nil"/>
        <w:bottom w:val="nil"/>
        <w:right w:val="nil"/>
        <w:between w:val="nil"/>
      </w:pBdr>
      <w:spacing w:line="276" w:lineRule="auto"/>
      <w:rPr>
        <w:color w:val="000000"/>
        <w:sz w:val="12"/>
        <w:szCs w:val="12"/>
      </w:rPr>
    </w:pPr>
  </w:p>
  <w:tbl>
    <w:tblPr>
      <w:tblStyle w:val="a2"/>
      <w:tblW w:w="8830" w:type="dxa"/>
      <w:tblInd w:w="0"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F24268" w14:paraId="7F5281E7" w14:textId="77777777" w:rsidTr="00D215FF">
      <w:trPr>
        <w:trHeight w:val="454"/>
      </w:trPr>
      <w:tc>
        <w:tcPr>
          <w:tcW w:w="2361" w:type="dxa"/>
          <w:vMerge w:val="restart"/>
          <w:vAlign w:val="center"/>
        </w:tcPr>
        <w:p w14:paraId="66A1FAB9" w14:textId="77777777" w:rsidR="00F24268" w:rsidRDefault="00F24268">
          <w:pPr>
            <w:jc w:val="center"/>
            <w:rPr>
              <w:sz w:val="16"/>
              <w:szCs w:val="16"/>
            </w:rPr>
          </w:pPr>
        </w:p>
      </w:tc>
      <w:tc>
        <w:tcPr>
          <w:tcW w:w="4235" w:type="dxa"/>
          <w:vAlign w:val="center"/>
        </w:tcPr>
        <w:p w14:paraId="7E241680" w14:textId="77777777" w:rsidR="00F24268" w:rsidRDefault="00F24268">
          <w:pPr>
            <w:jc w:val="center"/>
            <w:rPr>
              <w:sz w:val="18"/>
              <w:szCs w:val="18"/>
            </w:rPr>
          </w:pPr>
          <w:r>
            <w:rPr>
              <w:sz w:val="18"/>
              <w:szCs w:val="18"/>
            </w:rPr>
            <w:t>PROCESO GESTIÓN NORMATIVA</w:t>
          </w:r>
        </w:p>
      </w:tc>
      <w:tc>
        <w:tcPr>
          <w:tcW w:w="2234" w:type="dxa"/>
          <w:vAlign w:val="center"/>
        </w:tcPr>
        <w:p w14:paraId="29DA93A3" w14:textId="77777777" w:rsidR="00F24268" w:rsidRDefault="00F24268">
          <w:pPr>
            <w:rPr>
              <w:sz w:val="16"/>
              <w:szCs w:val="16"/>
            </w:rPr>
          </w:pPr>
          <w:r>
            <w:rPr>
              <w:sz w:val="16"/>
              <w:szCs w:val="16"/>
            </w:rPr>
            <w:t>CÓDIGO</w:t>
          </w:r>
          <w:r>
            <w:rPr>
              <w:color w:val="3366FF"/>
              <w:sz w:val="16"/>
              <w:szCs w:val="16"/>
            </w:rPr>
            <w:t xml:space="preserve">: </w:t>
          </w:r>
          <w:r>
            <w:rPr>
              <w:sz w:val="16"/>
              <w:szCs w:val="16"/>
            </w:rPr>
            <w:t>GNV-FO-001</w:t>
          </w:r>
        </w:p>
      </w:tc>
    </w:tr>
    <w:tr w:rsidR="00F24268" w14:paraId="7C6ED40D" w14:textId="77777777" w:rsidTr="00D215FF">
      <w:trPr>
        <w:trHeight w:val="454"/>
      </w:trPr>
      <w:tc>
        <w:tcPr>
          <w:tcW w:w="2361" w:type="dxa"/>
          <w:vMerge/>
          <w:vAlign w:val="center"/>
        </w:tcPr>
        <w:p w14:paraId="76BB753C" w14:textId="77777777" w:rsidR="00F24268" w:rsidRDefault="00F24268">
          <w:pPr>
            <w:widowControl w:val="0"/>
            <w:pBdr>
              <w:top w:val="nil"/>
              <w:left w:val="nil"/>
              <w:bottom w:val="nil"/>
              <w:right w:val="nil"/>
              <w:between w:val="nil"/>
            </w:pBdr>
            <w:spacing w:line="276" w:lineRule="auto"/>
            <w:rPr>
              <w:sz w:val="16"/>
              <w:szCs w:val="16"/>
            </w:rPr>
          </w:pPr>
        </w:p>
      </w:tc>
      <w:tc>
        <w:tcPr>
          <w:tcW w:w="4235" w:type="dxa"/>
          <w:vMerge w:val="restart"/>
          <w:vAlign w:val="center"/>
        </w:tcPr>
        <w:p w14:paraId="2535AD45" w14:textId="77777777" w:rsidR="00F24268" w:rsidRDefault="00F24268">
          <w:pPr>
            <w:jc w:val="center"/>
            <w:rPr>
              <w:sz w:val="20"/>
              <w:szCs w:val="20"/>
            </w:rPr>
          </w:pPr>
          <w:r>
            <w:rPr>
              <w:sz w:val="20"/>
              <w:szCs w:val="20"/>
            </w:rPr>
            <w:t>PRESENTACIÓN PROYECTOS DE ACUERDO</w:t>
          </w:r>
        </w:p>
      </w:tc>
      <w:tc>
        <w:tcPr>
          <w:tcW w:w="2234" w:type="dxa"/>
          <w:vAlign w:val="center"/>
        </w:tcPr>
        <w:p w14:paraId="2A4F170D" w14:textId="77777777" w:rsidR="00F24268" w:rsidRDefault="00F24268">
          <w:pPr>
            <w:rPr>
              <w:sz w:val="16"/>
              <w:szCs w:val="16"/>
            </w:rPr>
          </w:pPr>
          <w:r>
            <w:rPr>
              <w:sz w:val="16"/>
              <w:szCs w:val="16"/>
            </w:rPr>
            <w:t>VERSIÓN:    02</w:t>
          </w:r>
        </w:p>
      </w:tc>
    </w:tr>
    <w:tr w:rsidR="00F24268" w14:paraId="4B27C8AD" w14:textId="77777777" w:rsidTr="00D215FF">
      <w:trPr>
        <w:trHeight w:val="454"/>
      </w:trPr>
      <w:tc>
        <w:tcPr>
          <w:tcW w:w="2361" w:type="dxa"/>
          <w:vMerge/>
          <w:vAlign w:val="center"/>
        </w:tcPr>
        <w:p w14:paraId="513DA1E0" w14:textId="77777777" w:rsidR="00F24268" w:rsidRDefault="00F24268">
          <w:pPr>
            <w:widowControl w:val="0"/>
            <w:pBdr>
              <w:top w:val="nil"/>
              <w:left w:val="nil"/>
              <w:bottom w:val="nil"/>
              <w:right w:val="nil"/>
              <w:between w:val="nil"/>
            </w:pBdr>
            <w:spacing w:line="276" w:lineRule="auto"/>
            <w:rPr>
              <w:sz w:val="16"/>
              <w:szCs w:val="16"/>
            </w:rPr>
          </w:pPr>
        </w:p>
      </w:tc>
      <w:tc>
        <w:tcPr>
          <w:tcW w:w="4235" w:type="dxa"/>
          <w:vMerge/>
          <w:vAlign w:val="center"/>
        </w:tcPr>
        <w:p w14:paraId="75CAC6F5" w14:textId="77777777" w:rsidR="00F24268" w:rsidRDefault="00F24268">
          <w:pPr>
            <w:widowControl w:val="0"/>
            <w:pBdr>
              <w:top w:val="nil"/>
              <w:left w:val="nil"/>
              <w:bottom w:val="nil"/>
              <w:right w:val="nil"/>
              <w:between w:val="nil"/>
            </w:pBdr>
            <w:spacing w:line="276" w:lineRule="auto"/>
            <w:rPr>
              <w:sz w:val="16"/>
              <w:szCs w:val="16"/>
            </w:rPr>
          </w:pPr>
        </w:p>
      </w:tc>
      <w:tc>
        <w:tcPr>
          <w:tcW w:w="2234" w:type="dxa"/>
          <w:vAlign w:val="center"/>
        </w:tcPr>
        <w:p w14:paraId="3BFDC598" w14:textId="77777777" w:rsidR="00F24268" w:rsidRDefault="00F24268">
          <w:pPr>
            <w:rPr>
              <w:sz w:val="16"/>
              <w:szCs w:val="16"/>
            </w:rPr>
          </w:pPr>
          <w:r>
            <w:rPr>
              <w:sz w:val="16"/>
              <w:szCs w:val="16"/>
            </w:rPr>
            <w:t>FECHA: 14-Nov-2019</w:t>
          </w:r>
        </w:p>
      </w:tc>
    </w:tr>
  </w:tbl>
  <w:p w14:paraId="4801ED13" w14:textId="77777777" w:rsidR="00F24268" w:rsidRDefault="00F24268">
    <w:pPr>
      <w:pBdr>
        <w:top w:val="nil"/>
        <w:left w:val="nil"/>
        <w:bottom w:val="nil"/>
        <w:right w:val="nil"/>
        <w:between w:val="nil"/>
      </w:pBdr>
      <w:tabs>
        <w:tab w:val="center" w:pos="4252"/>
        <w:tab w:val="right" w:pos="8504"/>
      </w:tabs>
      <w:rPr>
        <w:color w:val="000000"/>
      </w:rPr>
    </w:pPr>
    <w:r>
      <w:rPr>
        <w:noProof/>
        <w:lang w:val="es-419" w:eastAsia="es-419"/>
      </w:rPr>
      <w:drawing>
        <wp:anchor distT="0" distB="0" distL="0" distR="0" simplePos="0" relativeHeight="251658240" behindDoc="1" locked="0" layoutInCell="1" hidden="0" allowOverlap="1" wp14:anchorId="3C30F9CD" wp14:editId="07777777">
          <wp:simplePos x="0" y="0"/>
          <wp:positionH relativeFrom="column">
            <wp:posOffset>441325</wp:posOffset>
          </wp:positionH>
          <wp:positionV relativeFrom="paragraph">
            <wp:posOffset>-890269</wp:posOffset>
          </wp:positionV>
          <wp:extent cx="752475" cy="885825"/>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21EB"/>
    <w:multiLevelType w:val="multilevel"/>
    <w:tmpl w:val="E9C843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6A30D0"/>
    <w:multiLevelType w:val="multilevel"/>
    <w:tmpl w:val="90C696D6"/>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2B6E03"/>
    <w:multiLevelType w:val="multilevel"/>
    <w:tmpl w:val="79BA5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FE16890"/>
    <w:multiLevelType w:val="multilevel"/>
    <w:tmpl w:val="49CA53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4B22D5"/>
    <w:multiLevelType w:val="multilevel"/>
    <w:tmpl w:val="E51AC8D4"/>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6F00F48"/>
    <w:multiLevelType w:val="multilevel"/>
    <w:tmpl w:val="D80854B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C472E6E"/>
    <w:multiLevelType w:val="multilevel"/>
    <w:tmpl w:val="D960D32A"/>
    <w:lvl w:ilvl="0">
      <w:start w:val="1"/>
      <w:numFmt w:val="decimal"/>
      <w:lvlText w:val="%1."/>
      <w:lvlJc w:val="left"/>
      <w:pPr>
        <w:ind w:left="1778" w:hanging="360"/>
      </w:pPr>
    </w:lvl>
    <w:lvl w:ilvl="1">
      <w:start w:val="3"/>
      <w:numFmt w:val="decimal"/>
      <w:lvlText w:val="%1.%2"/>
      <w:lvlJc w:val="left"/>
      <w:pPr>
        <w:ind w:left="1778" w:hanging="360"/>
      </w:pPr>
    </w:lvl>
    <w:lvl w:ilvl="2">
      <w:start w:val="1"/>
      <w:numFmt w:val="decimal"/>
      <w:lvlText w:val="%1.%2.%3"/>
      <w:lvlJc w:val="left"/>
      <w:pPr>
        <w:ind w:left="2138" w:hanging="720"/>
      </w:pPr>
      <w:rPr>
        <w:b/>
      </w:rPr>
    </w:lvl>
    <w:lvl w:ilvl="3">
      <w:start w:val="1"/>
      <w:numFmt w:val="decimal"/>
      <w:lvlText w:val="%1.%2.%3.%4"/>
      <w:lvlJc w:val="left"/>
      <w:pPr>
        <w:ind w:left="2138" w:hanging="720"/>
      </w:pPr>
    </w:lvl>
    <w:lvl w:ilvl="4">
      <w:start w:val="1"/>
      <w:numFmt w:val="decimal"/>
      <w:lvlText w:val="%1.%2.%3.%4.%5"/>
      <w:lvlJc w:val="left"/>
      <w:pPr>
        <w:ind w:left="2498" w:hanging="1080"/>
      </w:pPr>
    </w:lvl>
    <w:lvl w:ilvl="5">
      <w:start w:val="1"/>
      <w:numFmt w:val="decimal"/>
      <w:lvlText w:val="%1.%2.%3.%4.%5.%6"/>
      <w:lvlJc w:val="left"/>
      <w:pPr>
        <w:ind w:left="2498" w:hanging="1080"/>
      </w:pPr>
    </w:lvl>
    <w:lvl w:ilvl="6">
      <w:start w:val="1"/>
      <w:numFmt w:val="decimal"/>
      <w:lvlText w:val="%1.%2.%3.%4.%5.%6.%7"/>
      <w:lvlJc w:val="left"/>
      <w:pPr>
        <w:ind w:left="2858" w:hanging="1440"/>
      </w:pPr>
    </w:lvl>
    <w:lvl w:ilvl="7">
      <w:start w:val="1"/>
      <w:numFmt w:val="decimal"/>
      <w:lvlText w:val="%1.%2.%3.%4.%5.%6.%7.%8"/>
      <w:lvlJc w:val="left"/>
      <w:pPr>
        <w:ind w:left="2858" w:hanging="1440"/>
      </w:pPr>
    </w:lvl>
    <w:lvl w:ilvl="8">
      <w:start w:val="1"/>
      <w:numFmt w:val="decimal"/>
      <w:lvlText w:val="%1.%2.%3.%4.%5.%6.%7.%8.%9"/>
      <w:lvlJc w:val="left"/>
      <w:pPr>
        <w:ind w:left="3218" w:hanging="1800"/>
      </w:pPr>
    </w:lvl>
  </w:abstractNum>
  <w:abstractNum w:abstractNumId="7" w15:restartNumberingAfterBreak="0">
    <w:nsid w:val="7FBE6F66"/>
    <w:multiLevelType w:val="hybridMultilevel"/>
    <w:tmpl w:val="FD7048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DFE"/>
    <w:rsid w:val="00075735"/>
    <w:rsid w:val="000F622C"/>
    <w:rsid w:val="001D73AC"/>
    <w:rsid w:val="00255DF6"/>
    <w:rsid w:val="00277D91"/>
    <w:rsid w:val="00363C32"/>
    <w:rsid w:val="003B4DFE"/>
    <w:rsid w:val="003B7482"/>
    <w:rsid w:val="003F7440"/>
    <w:rsid w:val="00421369"/>
    <w:rsid w:val="00445A4D"/>
    <w:rsid w:val="00446BE5"/>
    <w:rsid w:val="00457FD1"/>
    <w:rsid w:val="00496155"/>
    <w:rsid w:val="00520D95"/>
    <w:rsid w:val="005D48E1"/>
    <w:rsid w:val="00696206"/>
    <w:rsid w:val="006E75B4"/>
    <w:rsid w:val="00711994"/>
    <w:rsid w:val="007272CF"/>
    <w:rsid w:val="00787DA4"/>
    <w:rsid w:val="007A1FA9"/>
    <w:rsid w:val="007A3405"/>
    <w:rsid w:val="007C763F"/>
    <w:rsid w:val="007D1D16"/>
    <w:rsid w:val="00810245"/>
    <w:rsid w:val="00820380"/>
    <w:rsid w:val="008448E9"/>
    <w:rsid w:val="00892651"/>
    <w:rsid w:val="00902F41"/>
    <w:rsid w:val="00903FE3"/>
    <w:rsid w:val="009506E5"/>
    <w:rsid w:val="009A1AF5"/>
    <w:rsid w:val="009E6D93"/>
    <w:rsid w:val="00A10210"/>
    <w:rsid w:val="00A13100"/>
    <w:rsid w:val="00A25276"/>
    <w:rsid w:val="00A25EC4"/>
    <w:rsid w:val="00AA2EF1"/>
    <w:rsid w:val="00B03188"/>
    <w:rsid w:val="00B57EAA"/>
    <w:rsid w:val="00BC1EAE"/>
    <w:rsid w:val="00BC5174"/>
    <w:rsid w:val="00CB536D"/>
    <w:rsid w:val="00CD3D0F"/>
    <w:rsid w:val="00CD75CF"/>
    <w:rsid w:val="00D1064E"/>
    <w:rsid w:val="00D215FF"/>
    <w:rsid w:val="00D37011"/>
    <w:rsid w:val="00D61EC5"/>
    <w:rsid w:val="00D737A7"/>
    <w:rsid w:val="00D86797"/>
    <w:rsid w:val="00DC1525"/>
    <w:rsid w:val="00DE5FAC"/>
    <w:rsid w:val="00E14DEE"/>
    <w:rsid w:val="00F00EBA"/>
    <w:rsid w:val="00F24268"/>
    <w:rsid w:val="00F44173"/>
    <w:rsid w:val="00F72C5E"/>
    <w:rsid w:val="00F81D57"/>
    <w:rsid w:val="01690472"/>
    <w:rsid w:val="13CBD507"/>
    <w:rsid w:val="153F1109"/>
    <w:rsid w:val="15FF8B39"/>
    <w:rsid w:val="26F48FAE"/>
    <w:rsid w:val="30EF05F4"/>
    <w:rsid w:val="379C50E1"/>
    <w:rsid w:val="37E32013"/>
    <w:rsid w:val="4DEEDB9B"/>
    <w:rsid w:val="510D9C45"/>
    <w:rsid w:val="640F004F"/>
    <w:rsid w:val="79B1DA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36F67"/>
  <w15:docId w15:val="{84D1BE39-B3F4-4107-84FC-520D6F0B9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pPr>
      <w:keepNext/>
      <w:outlineLvl w:val="1"/>
    </w:pPr>
    <w:rPr>
      <w:rFonts w:ascii="Times New Roman" w:eastAsia="Times New Roman" w:hAnsi="Times New Roman" w:cs="Times New Roman"/>
      <w:color w:val="000000"/>
    </w:rPr>
  </w:style>
  <w:style w:type="paragraph" w:styleId="Ttulo3">
    <w:name w:val="heading 3"/>
    <w:basedOn w:val="Normal"/>
    <w:next w:val="Normal"/>
    <w:pPr>
      <w:keepNext/>
      <w:keepLines/>
      <w:spacing w:before="200"/>
      <w:outlineLvl w:val="2"/>
    </w:pPr>
    <w:rPr>
      <w:rFonts w:ascii="Cambria" w:eastAsia="Cambria" w:hAnsi="Cambria" w:cs="Cambria"/>
      <w:b/>
      <w:color w:val="4F81BD"/>
    </w:rPr>
  </w:style>
  <w:style w:type="paragraph" w:styleId="Ttulo4">
    <w:name w:val="heading 4"/>
    <w:basedOn w:val="Normal"/>
    <w:next w:val="Normal"/>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pPr>
      <w:keepNext/>
      <w:keepLines/>
      <w:spacing w:before="200"/>
      <w:outlineLvl w:val="4"/>
    </w:pPr>
    <w:rPr>
      <w:rFonts w:ascii="Cambria" w:eastAsia="Cambria" w:hAnsi="Cambria" w:cs="Cambria"/>
      <w:color w:val="243F60"/>
    </w:rPr>
  </w:style>
  <w:style w:type="paragraph" w:styleId="Ttulo6">
    <w:name w:val="heading 6"/>
    <w:basedOn w:val="Normal"/>
    <w:next w:val="Normal"/>
    <w:pPr>
      <w:keepNext/>
      <w:keepLines/>
      <w:spacing w:before="40"/>
      <w:ind w:left="3600"/>
      <w:outlineLvl w:val="5"/>
    </w:pPr>
    <w:rPr>
      <w:rFonts w:ascii="Cambria" w:eastAsia="Cambria" w:hAnsi="Cambria" w:cs="Cambria"/>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rPr>
      <w:rFonts w:ascii="Cambria" w:eastAsia="Cambria" w:hAnsi="Cambria" w:cs="Cambria"/>
      <w:b/>
      <w:color w:val="000000"/>
      <w:sz w:val="32"/>
      <w:szCs w:val="3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paragraph" w:styleId="Encabezado">
    <w:name w:val="header"/>
    <w:basedOn w:val="Normal"/>
    <w:link w:val="EncabezadoCar"/>
    <w:uiPriority w:val="99"/>
    <w:unhideWhenUsed/>
    <w:rsid w:val="00D215FF"/>
    <w:pPr>
      <w:tabs>
        <w:tab w:val="center" w:pos="4419"/>
        <w:tab w:val="right" w:pos="8838"/>
      </w:tabs>
    </w:pPr>
  </w:style>
  <w:style w:type="character" w:customStyle="1" w:styleId="EncabezadoCar">
    <w:name w:val="Encabezado Car"/>
    <w:basedOn w:val="Fuentedeprrafopredeter"/>
    <w:link w:val="Encabezado"/>
    <w:uiPriority w:val="99"/>
    <w:rsid w:val="00D215FF"/>
  </w:style>
  <w:style w:type="paragraph" w:styleId="Piedepgina">
    <w:name w:val="footer"/>
    <w:basedOn w:val="Normal"/>
    <w:link w:val="PiedepginaCar"/>
    <w:uiPriority w:val="99"/>
    <w:unhideWhenUsed/>
    <w:rsid w:val="00D215FF"/>
    <w:pPr>
      <w:tabs>
        <w:tab w:val="center" w:pos="4419"/>
        <w:tab w:val="right" w:pos="8838"/>
      </w:tabs>
    </w:pPr>
  </w:style>
  <w:style w:type="character" w:customStyle="1" w:styleId="PiedepginaCar">
    <w:name w:val="Pie de página Car"/>
    <w:basedOn w:val="Fuentedeprrafopredeter"/>
    <w:link w:val="Piedepgina"/>
    <w:uiPriority w:val="99"/>
    <w:rsid w:val="00D215FF"/>
  </w:style>
  <w:style w:type="character" w:styleId="Refdenotaalpie">
    <w:name w:val="footnote reference"/>
    <w:basedOn w:val="Fuentedeprrafopredeter"/>
    <w:uiPriority w:val="99"/>
    <w:semiHidden/>
    <w:unhideWhenUsed/>
    <w:rPr>
      <w:vertAlign w:val="superscript"/>
    </w:rPr>
  </w:style>
  <w:style w:type="character" w:customStyle="1" w:styleId="TextonotapieCar">
    <w:name w:val="Texto nota pie Car"/>
    <w:basedOn w:val="Fuentedeprrafopredeter"/>
    <w:link w:val="Textonotapie"/>
    <w:uiPriority w:val="99"/>
    <w:semiHidden/>
    <w:rPr>
      <w:sz w:val="20"/>
      <w:szCs w:val="20"/>
    </w:rPr>
  </w:style>
  <w:style w:type="paragraph" w:styleId="Textonotapie">
    <w:name w:val="footnote text"/>
    <w:basedOn w:val="Normal"/>
    <w:link w:val="TextonotapieCar"/>
    <w:uiPriority w:val="99"/>
    <w:semiHidden/>
    <w:unhideWhenUsed/>
    <w:rPr>
      <w:sz w:val="20"/>
      <w:szCs w:val="20"/>
    </w:rPr>
  </w:style>
  <w:style w:type="character" w:styleId="Hipervnculo">
    <w:name w:val="Hyperlink"/>
    <w:basedOn w:val="Fuentedeprrafopredeter"/>
    <w:uiPriority w:val="99"/>
    <w:unhideWhenUsed/>
    <w:rsid w:val="4DEEDB9B"/>
    <w:rPr>
      <w:color w:val="0000FF"/>
      <w:u w:val="single"/>
    </w:rPr>
  </w:style>
  <w:style w:type="paragraph" w:styleId="Prrafodelista">
    <w:name w:val="List Paragraph"/>
    <w:basedOn w:val="Normal"/>
    <w:uiPriority w:val="34"/>
    <w:qFormat/>
    <w:rsid w:val="00D86797"/>
    <w:pPr>
      <w:ind w:left="720"/>
      <w:contextualSpacing/>
    </w:pPr>
  </w:style>
  <w:style w:type="paragraph" w:styleId="Textodeglobo">
    <w:name w:val="Balloon Text"/>
    <w:basedOn w:val="Normal"/>
    <w:link w:val="TextodegloboCar"/>
    <w:uiPriority w:val="99"/>
    <w:semiHidden/>
    <w:unhideWhenUsed/>
    <w:rsid w:val="006E75B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E75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038563">
      <w:bodyDiv w:val="1"/>
      <w:marLeft w:val="0"/>
      <w:marRight w:val="0"/>
      <w:marTop w:val="0"/>
      <w:marBottom w:val="0"/>
      <w:divBdr>
        <w:top w:val="none" w:sz="0" w:space="0" w:color="auto"/>
        <w:left w:val="none" w:sz="0" w:space="0" w:color="auto"/>
        <w:bottom w:val="none" w:sz="0" w:space="0" w:color="auto"/>
        <w:right w:val="none" w:sz="0" w:space="0" w:color="auto"/>
      </w:divBdr>
    </w:div>
    <w:div w:id="1523014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hyperlink" Target="https://sisjur.bogotajuridica.gov.co/sisjur/normas/Norma1.jsp?i=93649"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www.minsalud.gov.co/salud/publica/ssr/Paginas/salud-materna.aspx" TargetMode="External"/><Relationship Id="rId3" Type="http://schemas.openxmlformats.org/officeDocument/2006/relationships/hyperlink" Target="https://iris.paho.org/bitstream/handle/10665.2/51594/9789275332498_spa.pdf?sequence=1&amp;isAllowed=y" TargetMode="External"/><Relationship Id="rId7" Type="http://schemas.openxmlformats.org/officeDocument/2006/relationships/hyperlink" Target="https://revista.fecolsog.org/index.php/rcog/article/view/3821" TargetMode="External"/><Relationship Id="rId2" Type="http://schemas.openxmlformats.org/officeDocument/2006/relationships/hyperlink" Target="https://www.nice.org.uk/guidance/cg192/resources/antenatal-and-postnatal-mental-health-clinical-management-and-service-guidance-pdf-35109869806789" TargetMode="External"/><Relationship Id="rId1" Type="http://schemas.openxmlformats.org/officeDocument/2006/relationships/hyperlink" Target="http://www.saludcapital.gov.co/DDS/Publicaciones/Pol%C3%ADtica%20salud%20materna%20mayo%20de%202007.pdf" TargetMode="External"/><Relationship Id="rId6" Type="http://schemas.openxmlformats.org/officeDocument/2006/relationships/hyperlink" Target="https://www.infobae.com/colombia/2024/09/10/alarmante-panorama-para-la-salud-mental-en-colombia-intentos-de-suicidio-van-en-aumento-desde-la-pandemia/" TargetMode="External"/><Relationship Id="rId5" Type="http://schemas.openxmlformats.org/officeDocument/2006/relationships/hyperlink" Target="https://iris.paho.org/bitstream/handle/10665.2/51594/9789275332498_spa.pdf?sequence=1&amp;isAllowed=y" TargetMode="External"/><Relationship Id="rId10" Type="http://schemas.openxmlformats.org/officeDocument/2006/relationships/hyperlink" Target="https://www.nimh.nih.gov/health/publications/espanol/depresion-perinatal/" TargetMode="External"/><Relationship Id="rId4" Type="http://schemas.openxmlformats.org/officeDocument/2006/relationships/hyperlink" Target="https://iris.paho.org/bitstream/handle/10665.2/51594/9789275332498_spa.pdf?sequence=1&amp;isAllowed=y" TargetMode="External"/><Relationship Id="rId9" Type="http://schemas.openxmlformats.org/officeDocument/2006/relationships/hyperlink" Target="http://veeduriadistrital.gov.co/sites/default/files/files/Publicaciones2019/Diagnostico%20de%20la%20implementacion%20de%20la%20Ruta%20Integral%20de%20Atenciones%20para%20la%20Primera%20Infancia%20en%20el%20Distrito%20(Junio%202019)%20VF%20(29%20ago%201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package" Target="../embeddings/Hoja_de_c_lculo_de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Hoja_de_c_lculo_de_Microsoft_Excel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dk1"/>
                </a:solidFill>
                <a:latin typeface="Arial" panose="020B0604020202020204" pitchFamily="34" charset="0"/>
                <a:ea typeface="+mn-ea"/>
                <a:cs typeface="Arial" panose="020B0604020202020204" pitchFamily="34" charset="0"/>
              </a:defRPr>
            </a:pPr>
            <a:r>
              <a:rPr lang="es-CO">
                <a:latin typeface="Arial" panose="020B0604020202020204" pitchFamily="34" charset="0"/>
                <a:cs typeface="Arial" panose="020B0604020202020204" pitchFamily="34" charset="0"/>
              </a:rPr>
              <a:t>Casos de ideación suicida </a:t>
            </a:r>
          </a:p>
          <a:p>
            <a:pPr>
              <a:defRPr>
                <a:latin typeface="Arial" panose="020B0604020202020204" pitchFamily="34" charset="0"/>
                <a:cs typeface="Arial" panose="020B0604020202020204" pitchFamily="34" charset="0"/>
              </a:defRPr>
            </a:pPr>
            <a:r>
              <a:rPr lang="es-CO">
                <a:latin typeface="Arial" panose="020B0604020202020204" pitchFamily="34" charset="0"/>
                <a:cs typeface="Arial" panose="020B0604020202020204" pitchFamily="34" charset="0"/>
              </a:rPr>
              <a:t>Grupo poblacional (Gestantes)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dk1"/>
              </a:solidFill>
              <a:latin typeface="Arial" panose="020B0604020202020204" pitchFamily="34" charset="0"/>
              <a:ea typeface="+mn-ea"/>
              <a:cs typeface="Arial" panose="020B0604020202020204" pitchFamily="34" charset="0"/>
            </a:defRPr>
          </a:pPr>
          <a:endParaRPr lang="es-419"/>
        </a:p>
      </c:txPr>
    </c:title>
    <c:autoTitleDeleted val="0"/>
    <c:plotArea>
      <c:layout/>
      <c:lineChart>
        <c:grouping val="standard"/>
        <c:varyColors val="0"/>
        <c:ser>
          <c:idx val="0"/>
          <c:order val="0"/>
          <c:tx>
            <c:strRef>
              <c:f>Hoja1!$B$1</c:f>
              <c:strCache>
                <c:ptCount val="1"/>
                <c:pt idx="0">
                  <c:v>Casos </c:v>
                </c:pt>
              </c:strCache>
            </c:strRef>
          </c:tx>
          <c:spPr>
            <a:ln w="28575" cap="rnd">
              <a:solidFill>
                <a:schemeClr val="accent1"/>
              </a:solidFill>
              <a:round/>
            </a:ln>
            <a:effectLst/>
          </c:spPr>
          <c:marker>
            <c:symbol val="none"/>
          </c:marker>
          <c:dLbls>
            <c:dLbl>
              <c:idx val="0"/>
              <c:layout>
                <c:manualLayout>
                  <c:x val="-4.3981481481481503E-2"/>
                  <c:y val="4.76190476190475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CD8-4BE4-BDF2-06C2A629F84B}"/>
                </c:ext>
              </c:extLst>
            </c:dLbl>
            <c:dLbl>
              <c:idx val="1"/>
              <c:layout>
                <c:manualLayout>
                  <c:x val="-1.1574074074074073E-2"/>
                  <c:y val="4.76190476190475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CD8-4BE4-BDF2-06C2A629F84B}"/>
                </c:ext>
              </c:extLst>
            </c:dLbl>
            <c:dLbl>
              <c:idx val="3"/>
              <c:layout>
                <c:manualLayout>
                  <c:x val="4.6296296296295444E-3"/>
                  <c:y val="2.380952380952377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CD8-4BE4-BDF2-06C2A629F84B}"/>
                </c:ext>
              </c:extLst>
            </c:dLbl>
            <c:spPr>
              <a:noFill/>
              <a:ln>
                <a:noFill/>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s-419"/>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Hoja1!$A$2:$A$6</c:f>
              <c:numCache>
                <c:formatCode>General</c:formatCode>
                <c:ptCount val="5"/>
                <c:pt idx="0">
                  <c:v>2019</c:v>
                </c:pt>
                <c:pt idx="1">
                  <c:v>2020</c:v>
                </c:pt>
                <c:pt idx="2">
                  <c:v>2021</c:v>
                </c:pt>
                <c:pt idx="3">
                  <c:v>2022</c:v>
                </c:pt>
                <c:pt idx="4">
                  <c:v>2023</c:v>
                </c:pt>
              </c:numCache>
            </c:numRef>
          </c:cat>
          <c:val>
            <c:numRef>
              <c:f>Hoja1!$B$2:$B$6</c:f>
              <c:numCache>
                <c:formatCode>General</c:formatCode>
                <c:ptCount val="5"/>
                <c:pt idx="0">
                  <c:v>160</c:v>
                </c:pt>
                <c:pt idx="1">
                  <c:v>115</c:v>
                </c:pt>
                <c:pt idx="2">
                  <c:v>102</c:v>
                </c:pt>
                <c:pt idx="3">
                  <c:v>154</c:v>
                </c:pt>
                <c:pt idx="4">
                  <c:v>176</c:v>
                </c:pt>
              </c:numCache>
            </c:numRef>
          </c:val>
          <c:smooth val="0"/>
          <c:extLst>
            <c:ext xmlns:c16="http://schemas.microsoft.com/office/drawing/2014/chart" uri="{C3380CC4-5D6E-409C-BE32-E72D297353CC}">
              <c16:uniqueId val="{00000000-FCD8-4BE4-BDF2-06C2A629F84B}"/>
            </c:ext>
          </c:extLst>
        </c:ser>
        <c:ser>
          <c:idx val="1"/>
          <c:order val="1"/>
          <c:tx>
            <c:strRef>
              <c:f>Hoja1!$C$1</c:f>
              <c:strCache>
                <c:ptCount val="1"/>
                <c:pt idx="0">
                  <c:v>Columna1</c:v>
                </c:pt>
              </c:strCache>
            </c:strRef>
          </c:tx>
          <c:spPr>
            <a:ln w="28575" cap="rnd">
              <a:solidFill>
                <a:schemeClr val="accent2"/>
              </a:solidFill>
              <a:round/>
            </a:ln>
            <a:effectLst/>
          </c:spPr>
          <c:marker>
            <c:symbol val="none"/>
          </c:marker>
          <c:cat>
            <c:numRef>
              <c:f>Hoja1!$A$2:$A$6</c:f>
              <c:numCache>
                <c:formatCode>General</c:formatCode>
                <c:ptCount val="5"/>
                <c:pt idx="0">
                  <c:v>2019</c:v>
                </c:pt>
                <c:pt idx="1">
                  <c:v>2020</c:v>
                </c:pt>
                <c:pt idx="2">
                  <c:v>2021</c:v>
                </c:pt>
                <c:pt idx="3">
                  <c:v>2022</c:v>
                </c:pt>
                <c:pt idx="4">
                  <c:v>2023</c:v>
                </c:pt>
              </c:numCache>
            </c:numRef>
          </c:cat>
          <c:val>
            <c:numRef>
              <c:f>Hoja1!$C$2:$C$6</c:f>
              <c:numCache>
                <c:formatCode>General</c:formatCode>
                <c:ptCount val="5"/>
              </c:numCache>
            </c:numRef>
          </c:val>
          <c:smooth val="0"/>
          <c:extLst>
            <c:ext xmlns:c16="http://schemas.microsoft.com/office/drawing/2014/chart" uri="{C3380CC4-5D6E-409C-BE32-E72D297353CC}">
              <c16:uniqueId val="{00000001-FCD8-4BE4-BDF2-06C2A629F84B}"/>
            </c:ext>
          </c:extLst>
        </c:ser>
        <c:ser>
          <c:idx val="2"/>
          <c:order val="2"/>
          <c:tx>
            <c:strRef>
              <c:f>Hoja1!$D$1</c:f>
              <c:strCache>
                <c:ptCount val="1"/>
                <c:pt idx="0">
                  <c:v>Columna2</c:v>
                </c:pt>
              </c:strCache>
            </c:strRef>
          </c:tx>
          <c:spPr>
            <a:ln w="28575" cap="rnd">
              <a:solidFill>
                <a:schemeClr val="accent3"/>
              </a:solidFill>
              <a:round/>
            </a:ln>
            <a:effectLst/>
          </c:spPr>
          <c:marker>
            <c:symbol val="none"/>
          </c:marker>
          <c:cat>
            <c:numRef>
              <c:f>Hoja1!$A$2:$A$6</c:f>
              <c:numCache>
                <c:formatCode>General</c:formatCode>
                <c:ptCount val="5"/>
                <c:pt idx="0">
                  <c:v>2019</c:v>
                </c:pt>
                <c:pt idx="1">
                  <c:v>2020</c:v>
                </c:pt>
                <c:pt idx="2">
                  <c:v>2021</c:v>
                </c:pt>
                <c:pt idx="3">
                  <c:v>2022</c:v>
                </c:pt>
                <c:pt idx="4">
                  <c:v>2023</c:v>
                </c:pt>
              </c:numCache>
            </c:numRef>
          </c:cat>
          <c:val>
            <c:numRef>
              <c:f>Hoja1!$D$2:$D$6</c:f>
              <c:numCache>
                <c:formatCode>General</c:formatCode>
                <c:ptCount val="5"/>
              </c:numCache>
            </c:numRef>
          </c:val>
          <c:smooth val="0"/>
          <c:extLst>
            <c:ext xmlns:c16="http://schemas.microsoft.com/office/drawing/2014/chart" uri="{C3380CC4-5D6E-409C-BE32-E72D297353CC}">
              <c16:uniqueId val="{00000002-FCD8-4BE4-BDF2-06C2A629F84B}"/>
            </c:ext>
          </c:extLst>
        </c:ser>
        <c:dLbls>
          <c:showLegendKey val="0"/>
          <c:showVal val="0"/>
          <c:showCatName val="0"/>
          <c:showSerName val="0"/>
          <c:showPercent val="0"/>
          <c:showBubbleSize val="0"/>
        </c:dLbls>
        <c:smooth val="0"/>
        <c:axId val="1965281183"/>
        <c:axId val="1965281599"/>
      </c:lineChart>
      <c:catAx>
        <c:axId val="196528118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Arial" panose="020B0604020202020204" pitchFamily="34" charset="0"/>
                <a:ea typeface="+mn-ea"/>
                <a:cs typeface="Arial" panose="020B0604020202020204" pitchFamily="34" charset="0"/>
              </a:defRPr>
            </a:pPr>
            <a:endParaRPr lang="es-419"/>
          </a:p>
        </c:txPr>
        <c:crossAx val="1965281599"/>
        <c:crosses val="autoZero"/>
        <c:auto val="1"/>
        <c:lblAlgn val="ctr"/>
        <c:lblOffset val="100"/>
        <c:noMultiLvlLbl val="0"/>
      </c:catAx>
      <c:valAx>
        <c:axId val="19652815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s-419"/>
          </a:p>
        </c:txPr>
        <c:crossAx val="1965281183"/>
        <c:crosses val="autoZero"/>
        <c:crossBetween val="between"/>
      </c:valAx>
      <c:spPr>
        <a:noFill/>
        <a:ln>
          <a:noFill/>
        </a:ln>
        <a:effectLst/>
      </c:spPr>
    </c:plotArea>
    <c:legend>
      <c:legendPos val="b"/>
      <c:legendEntry>
        <c:idx val="1"/>
        <c:delete val="1"/>
      </c:legendEntry>
      <c:legendEntry>
        <c:idx val="2"/>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s-419"/>
        </a:p>
      </c:txPr>
    </c:legend>
    <c:plotVisOnly val="1"/>
    <c:dispBlanksAs val="gap"/>
    <c:showDLblsOverMax val="0"/>
  </c:chart>
  <c:spPr>
    <a:solidFill>
      <a:schemeClr val="lt1"/>
    </a:solidFill>
    <a:ln w="25400" cap="flat" cmpd="sng" algn="ctr">
      <a:solidFill>
        <a:schemeClr val="dk1"/>
      </a:solidFill>
      <a:prstDash val="solid"/>
      <a:round/>
    </a:ln>
    <a:effectLst/>
  </c:spPr>
  <c:txPr>
    <a:bodyPr/>
    <a:lstStyle/>
    <a:p>
      <a:pPr>
        <a:defRPr>
          <a:solidFill>
            <a:schemeClr val="dk1"/>
          </a:solidFill>
          <a:latin typeface="+mn-lt"/>
          <a:ea typeface="+mn-ea"/>
          <a:cs typeface="+mn-cs"/>
        </a:defRPr>
      </a:pPr>
      <a:endParaRPr lang="es-419"/>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1400" b="0" i="0" u="none" strike="noStrike" kern="1200" spc="0" baseline="0">
                <a:solidFill>
                  <a:schemeClr val="dk1"/>
                </a:solidFill>
                <a:latin typeface="Arial" panose="020B0604020202020204" pitchFamily="34" charset="0"/>
                <a:ea typeface="+mn-ea"/>
                <a:cs typeface="Arial" panose="020B0604020202020204" pitchFamily="34" charset="0"/>
              </a:defRPr>
            </a:pPr>
            <a:r>
              <a:rPr lang="en-US">
                <a:latin typeface="Arial" panose="020B0604020202020204" pitchFamily="34" charset="0"/>
                <a:cs typeface="Arial" panose="020B0604020202020204" pitchFamily="34" charset="0"/>
              </a:rPr>
              <a:t>Casos de intento de suicidio </a:t>
            </a:r>
          </a:p>
          <a:p>
            <a:pPr algn="ctr" rtl="0">
              <a:defRPr>
                <a:latin typeface="Arial" panose="020B0604020202020204" pitchFamily="34" charset="0"/>
                <a:cs typeface="Arial" panose="020B0604020202020204" pitchFamily="34" charset="0"/>
              </a:defRPr>
            </a:pPr>
            <a:r>
              <a:rPr lang="es-CO">
                <a:latin typeface="Arial" panose="020B0604020202020204" pitchFamily="34" charset="0"/>
                <a:cs typeface="Arial" panose="020B0604020202020204" pitchFamily="34" charset="0"/>
              </a:rPr>
              <a:t>Grupo poblacional (Gestantes)</a:t>
            </a:r>
            <a:endParaRPr lang="en-US">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lgn="ctr" rtl="0">
            <a:defRPr sz="1400" b="0" i="0" u="none" strike="noStrike" kern="1200" spc="0" baseline="0">
              <a:solidFill>
                <a:schemeClr val="dk1"/>
              </a:solidFill>
              <a:latin typeface="Arial" panose="020B0604020202020204" pitchFamily="34" charset="0"/>
              <a:ea typeface="+mn-ea"/>
              <a:cs typeface="Arial" panose="020B0604020202020204" pitchFamily="34" charset="0"/>
            </a:defRPr>
          </a:pPr>
          <a:endParaRPr lang="es-419"/>
        </a:p>
      </c:txPr>
    </c:title>
    <c:autoTitleDeleted val="0"/>
    <c:plotArea>
      <c:layout/>
      <c:lineChart>
        <c:grouping val="standard"/>
        <c:varyColors val="0"/>
        <c:ser>
          <c:idx val="0"/>
          <c:order val="0"/>
          <c:tx>
            <c:strRef>
              <c:f>Hoja1!$B$1</c:f>
              <c:strCache>
                <c:ptCount val="1"/>
                <c:pt idx="0">
                  <c:v>Casos</c:v>
                </c:pt>
              </c:strCache>
            </c:strRef>
          </c:tx>
          <c:spPr>
            <a:ln w="28575" cap="rnd">
              <a:solidFill>
                <a:schemeClr val="accent1"/>
              </a:solidFill>
              <a:round/>
            </a:ln>
            <a:effectLst/>
          </c:spPr>
          <c:marker>
            <c:symbol val="none"/>
          </c:marker>
          <c:dLbls>
            <c:dLbl>
              <c:idx val="0"/>
              <c:layout>
                <c:manualLayout>
                  <c:x val="-2.0833333333333353E-2"/>
                  <c:y val="3.57142857142857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5D2C-461B-8C5D-64EED93CA973}"/>
                </c:ext>
              </c:extLst>
            </c:dLbl>
            <c:dLbl>
              <c:idx val="1"/>
              <c:layout>
                <c:manualLayout>
                  <c:x val="-4.6296296296296294E-3"/>
                  <c:y val="2.38095238095238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D2C-461B-8C5D-64EED93CA973}"/>
                </c:ext>
              </c:extLst>
            </c:dLbl>
            <c:dLbl>
              <c:idx val="2"/>
              <c:layout>
                <c:manualLayout>
                  <c:x val="-1.3888888888888888E-2"/>
                  <c:y val="-5.95238095238095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D2C-461B-8C5D-64EED93CA973}"/>
                </c:ext>
              </c:extLst>
            </c:dLbl>
            <c:dLbl>
              <c:idx val="3"/>
              <c:layout>
                <c:manualLayout>
                  <c:x val="-1.1574074074074158E-2"/>
                  <c:y val="-5.952380952380956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D2C-461B-8C5D-64EED93CA973}"/>
                </c:ext>
              </c:extLst>
            </c:dLbl>
            <c:spPr>
              <a:noFill/>
              <a:ln>
                <a:noFill/>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s-419"/>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Hoja1!$A$2:$A$6</c:f>
              <c:numCache>
                <c:formatCode>General</c:formatCode>
                <c:ptCount val="5"/>
                <c:pt idx="0">
                  <c:v>2019</c:v>
                </c:pt>
                <c:pt idx="1">
                  <c:v>2020</c:v>
                </c:pt>
                <c:pt idx="2">
                  <c:v>2021</c:v>
                </c:pt>
                <c:pt idx="3">
                  <c:v>2022</c:v>
                </c:pt>
                <c:pt idx="4">
                  <c:v>2023</c:v>
                </c:pt>
              </c:numCache>
            </c:numRef>
          </c:cat>
          <c:val>
            <c:numRef>
              <c:f>Hoja1!$B$2:$B$6</c:f>
              <c:numCache>
                <c:formatCode>General</c:formatCode>
                <c:ptCount val="5"/>
                <c:pt idx="0">
                  <c:v>29</c:v>
                </c:pt>
                <c:pt idx="1">
                  <c:v>28</c:v>
                </c:pt>
                <c:pt idx="2">
                  <c:v>39</c:v>
                </c:pt>
                <c:pt idx="3">
                  <c:v>33</c:v>
                </c:pt>
                <c:pt idx="4">
                  <c:v>38</c:v>
                </c:pt>
              </c:numCache>
            </c:numRef>
          </c:val>
          <c:smooth val="0"/>
          <c:extLst>
            <c:ext xmlns:c16="http://schemas.microsoft.com/office/drawing/2014/chart" uri="{C3380CC4-5D6E-409C-BE32-E72D297353CC}">
              <c16:uniqueId val="{00000000-5D2C-461B-8C5D-64EED93CA973}"/>
            </c:ext>
          </c:extLst>
        </c:ser>
        <c:dLbls>
          <c:showLegendKey val="0"/>
          <c:showVal val="0"/>
          <c:showCatName val="0"/>
          <c:showSerName val="0"/>
          <c:showPercent val="0"/>
          <c:showBubbleSize val="0"/>
        </c:dLbls>
        <c:smooth val="0"/>
        <c:axId val="1886984655"/>
        <c:axId val="1886986735"/>
      </c:lineChart>
      <c:catAx>
        <c:axId val="18869846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dk1"/>
                </a:solidFill>
                <a:latin typeface="Arial" panose="020B0604020202020204" pitchFamily="34" charset="0"/>
                <a:ea typeface="+mn-ea"/>
                <a:cs typeface="Arial" panose="020B0604020202020204" pitchFamily="34" charset="0"/>
              </a:defRPr>
            </a:pPr>
            <a:endParaRPr lang="es-419"/>
          </a:p>
        </c:txPr>
        <c:crossAx val="1886986735"/>
        <c:crosses val="autoZero"/>
        <c:auto val="1"/>
        <c:lblAlgn val="ctr"/>
        <c:lblOffset val="100"/>
        <c:noMultiLvlLbl val="0"/>
      </c:catAx>
      <c:valAx>
        <c:axId val="188698673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s-419"/>
          </a:p>
        </c:txPr>
        <c:crossAx val="188698465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solidFill>
              <a:latin typeface="+mn-lt"/>
              <a:ea typeface="+mn-ea"/>
              <a:cs typeface="+mn-cs"/>
            </a:defRPr>
          </a:pPr>
          <a:endParaRPr lang="es-419"/>
        </a:p>
      </c:txPr>
    </c:legend>
    <c:plotVisOnly val="1"/>
    <c:dispBlanksAs val="gap"/>
    <c:showDLblsOverMax val="0"/>
  </c:chart>
  <c:spPr>
    <a:solidFill>
      <a:schemeClr val="lt1"/>
    </a:solidFill>
    <a:ln w="25400" cap="flat" cmpd="sng" algn="ctr">
      <a:solidFill>
        <a:schemeClr val="dk1"/>
      </a:solidFill>
      <a:prstDash val="solid"/>
      <a:round/>
    </a:ln>
    <a:effectLst/>
  </c:spPr>
  <c:txPr>
    <a:bodyPr/>
    <a:lstStyle/>
    <a:p>
      <a:pPr>
        <a:defRPr>
          <a:solidFill>
            <a:schemeClr val="dk1"/>
          </a:solidFill>
          <a:latin typeface="+mn-lt"/>
          <a:ea typeface="+mn-ea"/>
          <a:cs typeface="+mn-cs"/>
        </a:defRPr>
      </a:pPr>
      <a:endParaRPr lang="es-419"/>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M7Nc0GlFthj4Vnq+xC/2EKsN7A==">CgMxLjAyCGguZ2pkZ3hzMgppZC4zMGowemxsMgppZC4xZm9iOXRlMgppZC4zem55c2g3MgppZC4yZXQ5MnAwMglpZC50eWpjd3QyCmlkLjNkeTZ2a20yCmlkLjF0M2g1c2YyCmlkLjRkMzRvZzg4AHIhMVVnLUJHMHRBWmczcXVlVG9RaUstNjNRYUFfdV9xRm5k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92A2FFF-5903-41F2-9FCB-2B8A80F93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9871</Words>
  <Characters>54292</Characters>
  <Application>Microsoft Office Word</Application>
  <DocSecurity>0</DocSecurity>
  <Lines>452</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JENIFFER BRAVO ZAPATA</dc:creator>
  <cp:lastModifiedBy>ANA YOLANDA DURAN RODRIGUEZ</cp:lastModifiedBy>
  <cp:revision>2</cp:revision>
  <cp:lastPrinted>2025-01-10T21:51:00Z</cp:lastPrinted>
  <dcterms:created xsi:type="dcterms:W3CDTF">2025-04-04T20:05:00Z</dcterms:created>
  <dcterms:modified xsi:type="dcterms:W3CDTF">2025-04-04T20:05:00Z</dcterms:modified>
</cp:coreProperties>
</file>